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7A" w:rsidRDefault="00DD487A">
      <w:pPr>
        <w:ind w:left="0" w:hanging="2"/>
        <w:rPr>
          <w:sz w:val="22"/>
          <w:szCs w:val="22"/>
        </w:rPr>
      </w:pPr>
    </w:p>
    <w:p w:rsidR="00DD487A" w:rsidRDefault="00DD487A">
      <w:pPr>
        <w:tabs>
          <w:tab w:val="left" w:pos="4762"/>
          <w:tab w:val="left" w:pos="9411"/>
        </w:tabs>
        <w:ind w:left="0" w:hanging="2"/>
        <w:rPr>
          <w:sz w:val="22"/>
          <w:szCs w:val="22"/>
        </w:rPr>
      </w:pPr>
    </w:p>
    <w:p w:rsidR="00DD487A" w:rsidRDefault="00DD487A">
      <w:pPr>
        <w:tabs>
          <w:tab w:val="left" w:pos="4762"/>
          <w:tab w:val="left" w:pos="9411"/>
        </w:tabs>
        <w:ind w:left="0" w:hanging="2"/>
        <w:rPr>
          <w:sz w:val="22"/>
          <w:szCs w:val="22"/>
        </w:rPr>
      </w:pPr>
    </w:p>
    <w:p w:rsidR="00DD487A" w:rsidRDefault="00DD487A">
      <w:pPr>
        <w:tabs>
          <w:tab w:val="left" w:pos="4762"/>
          <w:tab w:val="left" w:pos="9411"/>
        </w:tabs>
        <w:ind w:left="0" w:hanging="2"/>
        <w:rPr>
          <w:sz w:val="22"/>
          <w:szCs w:val="22"/>
        </w:rPr>
      </w:pPr>
    </w:p>
    <w:p w:rsidR="00F76482" w:rsidRDefault="00F76482">
      <w:pPr>
        <w:spacing w:line="276" w:lineRule="auto"/>
        <w:ind w:left="0" w:hanging="2"/>
        <w:rPr>
          <w:b/>
          <w:sz w:val="22"/>
          <w:szCs w:val="22"/>
        </w:rPr>
      </w:pPr>
    </w:p>
    <w:p w:rsidR="00DD487A" w:rsidRDefault="006A5119" w:rsidP="006A5119">
      <w:pPr>
        <w:spacing w:line="276" w:lineRule="auto"/>
        <w:ind w:left="0" w:hanging="2"/>
        <w:jc w:val="center"/>
        <w:rPr>
          <w:b/>
          <w:sz w:val="22"/>
          <w:szCs w:val="22"/>
        </w:rPr>
      </w:pPr>
      <w:r>
        <w:rPr>
          <w:b/>
          <w:sz w:val="22"/>
          <w:szCs w:val="22"/>
        </w:rPr>
        <w:t>Issues for the Committee’s consideration</w:t>
      </w:r>
      <w:r>
        <w:rPr>
          <w:b/>
          <w:sz w:val="22"/>
          <w:szCs w:val="22"/>
        </w:rPr>
        <w:t xml:space="preserve"> </w:t>
      </w:r>
      <w:r w:rsidR="005D506C">
        <w:rPr>
          <w:b/>
          <w:sz w:val="22"/>
          <w:szCs w:val="22"/>
        </w:rPr>
        <w:t>regarding the remitted Copyright and Performers’ Protection Amendment Bills</w:t>
      </w:r>
    </w:p>
    <w:p w:rsidR="00DD487A" w:rsidRDefault="00DD487A">
      <w:pPr>
        <w:tabs>
          <w:tab w:val="left" w:pos="4762"/>
          <w:tab w:val="left" w:pos="9411"/>
        </w:tabs>
        <w:spacing w:line="276" w:lineRule="auto"/>
        <w:ind w:left="0" w:hanging="2"/>
        <w:rPr>
          <w:sz w:val="22"/>
          <w:szCs w:val="22"/>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49"/>
        <w:gridCol w:w="2749"/>
        <w:gridCol w:w="2749"/>
        <w:gridCol w:w="2749"/>
        <w:gridCol w:w="2749"/>
      </w:tblGrid>
      <w:tr w:rsidR="0035110F" w:rsidTr="0035110F">
        <w:tc>
          <w:tcPr>
            <w:tcW w:w="1000" w:type="pct"/>
            <w:shd w:val="clear" w:color="auto" w:fill="BFBFBF"/>
          </w:tcPr>
          <w:p w:rsidR="0035110F" w:rsidRDefault="0035110F">
            <w:pPr>
              <w:spacing w:line="276" w:lineRule="auto"/>
              <w:ind w:left="0" w:hanging="2"/>
              <w:jc w:val="center"/>
            </w:pPr>
            <w:r>
              <w:rPr>
                <w:b/>
              </w:rPr>
              <w:t>President’s reservations</w:t>
            </w:r>
          </w:p>
        </w:tc>
        <w:tc>
          <w:tcPr>
            <w:tcW w:w="1000" w:type="pct"/>
            <w:shd w:val="clear" w:color="auto" w:fill="BFBFBF"/>
          </w:tcPr>
          <w:p w:rsidR="0035110F" w:rsidRDefault="0035110F">
            <w:pPr>
              <w:spacing w:line="276" w:lineRule="auto"/>
              <w:ind w:left="0" w:hanging="2"/>
              <w:jc w:val="center"/>
            </w:pPr>
            <w:r>
              <w:rPr>
                <w:b/>
              </w:rPr>
              <w:t>CLSO recommendations</w:t>
            </w:r>
          </w:p>
        </w:tc>
        <w:tc>
          <w:tcPr>
            <w:tcW w:w="1000" w:type="pct"/>
            <w:shd w:val="clear" w:color="auto" w:fill="BFBFBF"/>
          </w:tcPr>
          <w:p w:rsidR="0035110F" w:rsidRDefault="0035110F">
            <w:pPr>
              <w:spacing w:line="276" w:lineRule="auto"/>
              <w:ind w:left="0" w:hanging="2"/>
              <w:jc w:val="center"/>
            </w:pPr>
            <w:r>
              <w:rPr>
                <w:b/>
              </w:rPr>
              <w:t>ANC position</w:t>
            </w:r>
          </w:p>
        </w:tc>
        <w:tc>
          <w:tcPr>
            <w:tcW w:w="1000" w:type="pct"/>
            <w:shd w:val="clear" w:color="auto" w:fill="BFBFBF"/>
          </w:tcPr>
          <w:p w:rsidR="0035110F" w:rsidRDefault="0035110F">
            <w:pPr>
              <w:spacing w:line="276" w:lineRule="auto"/>
              <w:ind w:left="0" w:hanging="2"/>
              <w:jc w:val="center"/>
              <w:rPr>
                <w:b/>
              </w:rPr>
            </w:pPr>
            <w:r>
              <w:rPr>
                <w:b/>
              </w:rPr>
              <w:t>DA position</w:t>
            </w:r>
          </w:p>
        </w:tc>
        <w:tc>
          <w:tcPr>
            <w:tcW w:w="1000" w:type="pct"/>
            <w:shd w:val="clear" w:color="auto" w:fill="BFBFBF"/>
          </w:tcPr>
          <w:p w:rsidR="0035110F" w:rsidRDefault="0035110F">
            <w:pPr>
              <w:spacing w:line="276" w:lineRule="auto"/>
              <w:ind w:left="0" w:hanging="2"/>
              <w:jc w:val="center"/>
              <w:rPr>
                <w:b/>
              </w:rPr>
            </w:pPr>
            <w:r>
              <w:rPr>
                <w:b/>
              </w:rPr>
              <w:t>Committee decision</w:t>
            </w:r>
          </w:p>
        </w:tc>
      </w:tr>
      <w:tr w:rsidR="0035110F" w:rsidTr="0035110F">
        <w:tc>
          <w:tcPr>
            <w:tcW w:w="1000" w:type="pct"/>
          </w:tcPr>
          <w:p w:rsidR="0035110F" w:rsidRDefault="0035110F" w:rsidP="00A61C37">
            <w:pPr>
              <w:spacing w:line="240" w:lineRule="auto"/>
              <w:ind w:leftChars="0" w:left="0" w:firstLineChars="0" w:firstLine="0"/>
            </w:pPr>
            <w:r>
              <w:t>Tagging: the Bills should have been classified as section 76 Bills (“trade” and “cultural matters”)</w:t>
            </w:r>
          </w:p>
        </w:tc>
        <w:tc>
          <w:tcPr>
            <w:tcW w:w="1000" w:type="pct"/>
          </w:tcPr>
          <w:p w:rsidR="0035110F" w:rsidRDefault="0035110F" w:rsidP="00A61C37">
            <w:pPr>
              <w:spacing w:line="240" w:lineRule="auto"/>
              <w:ind w:leftChars="0" w:left="0" w:firstLineChars="0" w:firstLine="0"/>
            </w:pPr>
            <w:r>
              <w:t>Both Bills were correctly classified as section 75 Bills. The Committee may however decide to err on the side of caution and recommend a reclassification of section 76 to the JTM</w:t>
            </w:r>
          </w:p>
        </w:tc>
        <w:tc>
          <w:tcPr>
            <w:tcW w:w="1000" w:type="pct"/>
          </w:tcPr>
          <w:p w:rsidR="0035110F" w:rsidRDefault="0035110F" w:rsidP="00A61C37">
            <w:pPr>
              <w:widowControl w:val="0"/>
              <w:tabs>
                <w:tab w:val="left" w:pos="821"/>
              </w:tabs>
              <w:spacing w:before="1"/>
              <w:ind w:leftChars="0" w:left="0" w:right="111" w:firstLineChars="0" w:firstLine="0"/>
            </w:pPr>
            <w:r>
              <w:t>The ANC agrees with the President that the Bill be re-tagged as a Section 76 Bill. The ANC errs on the side of caution by referring this matter to the Joint Tagging Mechanism to validate the view of the ANC.</w:t>
            </w:r>
          </w:p>
          <w:p w:rsidR="0035110F" w:rsidRDefault="0035110F">
            <w:pPr>
              <w:spacing w:line="240" w:lineRule="auto"/>
              <w:ind w:left="0" w:hanging="2"/>
            </w:pPr>
          </w:p>
        </w:tc>
        <w:tc>
          <w:tcPr>
            <w:tcW w:w="1000" w:type="pct"/>
          </w:tcPr>
          <w:p w:rsidR="0035110F" w:rsidRDefault="0035110F" w:rsidP="00A61C37">
            <w:pPr>
              <w:widowControl w:val="0"/>
              <w:tabs>
                <w:tab w:val="left" w:pos="821"/>
              </w:tabs>
              <w:spacing w:before="1"/>
              <w:ind w:leftChars="0" w:left="0" w:right="111" w:firstLineChars="0" w:firstLine="0"/>
            </w:pPr>
            <w:r w:rsidRPr="00A61C37">
              <w:t>The DA believes that the bill should be tagged as a Section 76 Bill and should be done as such to allow Provinces and interested parties to comment as such.</w:t>
            </w:r>
          </w:p>
        </w:tc>
        <w:tc>
          <w:tcPr>
            <w:tcW w:w="1000" w:type="pct"/>
          </w:tcPr>
          <w:p w:rsidR="0035110F" w:rsidRDefault="00F674E8" w:rsidP="00A61C37">
            <w:pPr>
              <w:widowControl w:val="0"/>
              <w:tabs>
                <w:tab w:val="left" w:pos="821"/>
              </w:tabs>
              <w:spacing w:before="1"/>
              <w:ind w:leftChars="0" w:left="0" w:right="111" w:firstLineChars="0" w:firstLine="0"/>
            </w:pPr>
            <w:r>
              <w:t>EFF – agrees</w:t>
            </w:r>
          </w:p>
          <w:p w:rsidR="00F674E8" w:rsidRDefault="00F674E8" w:rsidP="00A61C37">
            <w:pPr>
              <w:widowControl w:val="0"/>
              <w:tabs>
                <w:tab w:val="left" w:pos="821"/>
              </w:tabs>
              <w:spacing w:before="1"/>
              <w:ind w:leftChars="0" w:left="0" w:right="111" w:firstLineChars="0" w:firstLine="0"/>
            </w:pPr>
            <w:r>
              <w:t>ACDP – agrees</w:t>
            </w:r>
          </w:p>
          <w:p w:rsidR="00F674E8" w:rsidRPr="00A61C37" w:rsidRDefault="00F674E8" w:rsidP="00A61C37">
            <w:pPr>
              <w:widowControl w:val="0"/>
              <w:tabs>
                <w:tab w:val="left" w:pos="821"/>
              </w:tabs>
              <w:spacing w:before="1"/>
              <w:ind w:leftChars="0" w:left="0" w:right="111" w:firstLineChars="0" w:firstLine="0"/>
            </w:pPr>
          </w:p>
        </w:tc>
      </w:tr>
      <w:tr w:rsidR="0035110F" w:rsidTr="0035110F">
        <w:tc>
          <w:tcPr>
            <w:tcW w:w="1000" w:type="pct"/>
          </w:tcPr>
          <w:p w:rsidR="0035110F" w:rsidRDefault="0035110F" w:rsidP="00A61C37">
            <w:pPr>
              <w:spacing w:line="240" w:lineRule="auto"/>
              <w:ind w:leftChars="0" w:left="0" w:firstLineChars="0" w:firstLine="0"/>
            </w:pPr>
            <w:r>
              <w:t xml:space="preserve">Retrospective and arbitrary deprivations of property – Clauses 5, 7 and 9 inserting sections 6A(7), 7A(7) and 8A(5) into the Copyright AB. </w:t>
            </w:r>
          </w:p>
        </w:tc>
        <w:tc>
          <w:tcPr>
            <w:tcW w:w="1000" w:type="pct"/>
          </w:tcPr>
          <w:p w:rsidR="0035110F" w:rsidRDefault="0035110F" w:rsidP="00A61C37">
            <w:pPr>
              <w:spacing w:line="240" w:lineRule="auto"/>
              <w:ind w:leftChars="0" w:left="0" w:firstLineChars="0" w:firstLine="0"/>
            </w:pPr>
            <w:r>
              <w:t>Amend these clauses to provide for prospective operation only</w:t>
            </w:r>
          </w:p>
        </w:tc>
        <w:tc>
          <w:tcPr>
            <w:tcW w:w="1000" w:type="pct"/>
          </w:tcPr>
          <w:p w:rsidR="0035110F" w:rsidRDefault="0035110F" w:rsidP="00A61C37">
            <w:pPr>
              <w:widowControl w:val="0"/>
              <w:numPr>
                <w:ilvl w:val="0"/>
                <w:numId w:val="3"/>
              </w:numPr>
              <w:tabs>
                <w:tab w:val="left" w:pos="821"/>
              </w:tabs>
              <w:ind w:leftChars="0" w:left="360" w:right="112" w:firstLineChars="0"/>
            </w:pPr>
            <w:r>
              <w:t>The ANC agrees with the President’s reservation; therefore, the sub-clauses should be deleted</w:t>
            </w:r>
          </w:p>
          <w:p w:rsidR="0035110F" w:rsidRDefault="0035110F" w:rsidP="00A61C37">
            <w:pPr>
              <w:widowControl w:val="0"/>
              <w:numPr>
                <w:ilvl w:val="0"/>
                <w:numId w:val="3"/>
              </w:numPr>
              <w:tabs>
                <w:tab w:val="left" w:pos="821"/>
              </w:tabs>
              <w:ind w:leftChars="0" w:left="360" w:right="112" w:firstLineChars="0"/>
            </w:pPr>
            <w:r>
              <w:t>The ANC recommends the possible introduction of compensation for those exploited in the past. The Minister must consult with the Treasury on bringing a fresh Bill to the Committee to introduce a levy to address (compensate) the exploitation of the past (in the future).</w:t>
            </w:r>
          </w:p>
          <w:p w:rsidR="0035110F" w:rsidRDefault="0035110F" w:rsidP="00A61C37">
            <w:pPr>
              <w:widowControl w:val="0"/>
              <w:tabs>
                <w:tab w:val="left" w:pos="821"/>
              </w:tabs>
              <w:ind w:leftChars="0" w:left="2" w:right="112" w:hanging="2"/>
            </w:pPr>
          </w:p>
          <w:p w:rsidR="0035110F" w:rsidRDefault="0035110F" w:rsidP="00A61C37">
            <w:pPr>
              <w:widowControl w:val="0"/>
              <w:numPr>
                <w:ilvl w:val="0"/>
                <w:numId w:val="3"/>
              </w:numPr>
              <w:tabs>
                <w:tab w:val="left" w:pos="1322"/>
              </w:tabs>
              <w:spacing w:before="1"/>
              <w:ind w:leftChars="0" w:left="360" w:right="116" w:firstLineChars="0"/>
            </w:pPr>
            <w:r>
              <w:t>The PC may request the Executive to identify possible mechanisms (options) to compensate artists or performers who were exploited in the past (within 6-12 months)</w:t>
            </w:r>
          </w:p>
        </w:tc>
        <w:tc>
          <w:tcPr>
            <w:tcW w:w="1000" w:type="pct"/>
          </w:tcPr>
          <w:p w:rsidR="0035110F" w:rsidRDefault="00F674E8" w:rsidP="00A61C37">
            <w:pPr>
              <w:widowControl w:val="0"/>
              <w:tabs>
                <w:tab w:val="left" w:pos="821"/>
              </w:tabs>
              <w:ind w:leftChars="0" w:left="0" w:right="112" w:firstLineChars="0" w:firstLine="0"/>
            </w:pPr>
            <w:r>
              <w:t>Agree with the President’s view</w:t>
            </w:r>
          </w:p>
        </w:tc>
        <w:tc>
          <w:tcPr>
            <w:tcW w:w="1000" w:type="pct"/>
          </w:tcPr>
          <w:p w:rsidR="0035110F" w:rsidRDefault="00F674E8" w:rsidP="00A61C37">
            <w:pPr>
              <w:widowControl w:val="0"/>
              <w:tabs>
                <w:tab w:val="left" w:pos="821"/>
              </w:tabs>
              <w:ind w:leftChars="0" w:left="0" w:right="112" w:firstLineChars="0" w:firstLine="0"/>
            </w:pPr>
            <w:r>
              <w:t>ACDP – agree</w:t>
            </w:r>
          </w:p>
          <w:p w:rsidR="00F674E8" w:rsidRDefault="00F674E8" w:rsidP="00A61C37">
            <w:pPr>
              <w:widowControl w:val="0"/>
              <w:tabs>
                <w:tab w:val="left" w:pos="821"/>
              </w:tabs>
              <w:ind w:leftChars="0" w:left="0" w:right="112" w:firstLineChars="0" w:firstLine="0"/>
            </w:pPr>
            <w:r>
              <w:t>EFF – agree and should consider a levy</w:t>
            </w:r>
          </w:p>
        </w:tc>
      </w:tr>
      <w:tr w:rsidR="0035110F" w:rsidTr="0035110F">
        <w:tc>
          <w:tcPr>
            <w:tcW w:w="1000" w:type="pct"/>
          </w:tcPr>
          <w:p w:rsidR="0035110F" w:rsidRDefault="0035110F" w:rsidP="00A61C37">
            <w:pPr>
              <w:spacing w:line="240" w:lineRule="auto"/>
              <w:ind w:leftChars="0" w:left="0" w:firstLineChars="0" w:firstLine="0"/>
            </w:pPr>
            <w:r>
              <w:t>Impermissible delegation of legislative power to the Minister – Again Clauses 5, 7 and 9 of the Copyright AB.</w:t>
            </w:r>
          </w:p>
        </w:tc>
        <w:tc>
          <w:tcPr>
            <w:tcW w:w="1000" w:type="pct"/>
          </w:tcPr>
          <w:p w:rsidR="0035110F" w:rsidRDefault="0035110F" w:rsidP="00A61C37">
            <w:pPr>
              <w:spacing w:line="240" w:lineRule="auto"/>
              <w:ind w:leftChars="0" w:left="0" w:firstLineChars="0" w:firstLine="0"/>
            </w:pPr>
            <w:r>
              <w:t>If the clauses are amended as recommended above – this reservation is automatically dealt with. If the clauses are retained, the delegations need not be amended.</w:t>
            </w:r>
          </w:p>
        </w:tc>
        <w:tc>
          <w:tcPr>
            <w:tcW w:w="1000" w:type="pct"/>
          </w:tcPr>
          <w:p w:rsidR="0035110F" w:rsidRDefault="0035110F" w:rsidP="00A61C37">
            <w:pPr>
              <w:widowControl w:val="0"/>
              <w:tabs>
                <w:tab w:val="left" w:pos="821"/>
              </w:tabs>
              <w:spacing w:before="1"/>
              <w:ind w:leftChars="0" w:left="0" w:right="113" w:firstLineChars="0" w:firstLine="0"/>
            </w:pPr>
            <w:r>
              <w:t>The ANC is of the view that delegation of powers to the Executive is a norm in our laws, however this clause on delegation of powers to the Executive automatically falls away with the deletion of the Retrospectivity clause as they are linked.</w:t>
            </w:r>
          </w:p>
          <w:p w:rsidR="0035110F" w:rsidRDefault="0035110F">
            <w:pPr>
              <w:spacing w:line="240" w:lineRule="auto"/>
              <w:ind w:left="0" w:hanging="2"/>
            </w:pPr>
          </w:p>
        </w:tc>
        <w:tc>
          <w:tcPr>
            <w:tcW w:w="1000" w:type="pct"/>
          </w:tcPr>
          <w:p w:rsidR="0035110F" w:rsidRDefault="0035110F" w:rsidP="00A61C37">
            <w:pPr>
              <w:widowControl w:val="0"/>
              <w:tabs>
                <w:tab w:val="left" w:pos="821"/>
              </w:tabs>
              <w:spacing w:before="1"/>
              <w:ind w:leftChars="0" w:left="0" w:right="113" w:firstLineChars="0" w:firstLine="0"/>
            </w:pPr>
            <w:r w:rsidRPr="00A61C37">
              <w:t>Agree with the President on the impermissible delegation of legislative power.</w:t>
            </w:r>
          </w:p>
        </w:tc>
        <w:tc>
          <w:tcPr>
            <w:tcW w:w="1000" w:type="pct"/>
          </w:tcPr>
          <w:p w:rsidR="0035110F" w:rsidRDefault="00494316" w:rsidP="00A61C37">
            <w:pPr>
              <w:widowControl w:val="0"/>
              <w:tabs>
                <w:tab w:val="left" w:pos="821"/>
              </w:tabs>
              <w:spacing w:before="1"/>
              <w:ind w:leftChars="0" w:left="0" w:right="113" w:firstLineChars="0" w:firstLine="0"/>
            </w:pPr>
            <w:r>
              <w:t>EFF – agree</w:t>
            </w:r>
          </w:p>
          <w:p w:rsidR="00494316" w:rsidRDefault="00494316" w:rsidP="00A61C37">
            <w:pPr>
              <w:widowControl w:val="0"/>
              <w:tabs>
                <w:tab w:val="left" w:pos="821"/>
              </w:tabs>
              <w:spacing w:before="1"/>
              <w:ind w:leftChars="0" w:left="0" w:right="113" w:firstLineChars="0" w:firstLine="0"/>
            </w:pPr>
            <w:r>
              <w:t>ACDP – agree</w:t>
            </w:r>
          </w:p>
          <w:p w:rsidR="00494316" w:rsidRPr="00A61C37" w:rsidRDefault="00494316" w:rsidP="00A61C37">
            <w:pPr>
              <w:widowControl w:val="0"/>
              <w:tabs>
                <w:tab w:val="left" w:pos="821"/>
              </w:tabs>
              <w:spacing w:before="1"/>
              <w:ind w:leftChars="0" w:left="0" w:right="113" w:firstLineChars="0" w:firstLine="0"/>
            </w:pPr>
          </w:p>
        </w:tc>
      </w:tr>
      <w:tr w:rsidR="0035110F" w:rsidTr="0035110F">
        <w:tc>
          <w:tcPr>
            <w:tcW w:w="1000" w:type="pct"/>
          </w:tcPr>
          <w:p w:rsidR="0035110F" w:rsidRDefault="0035110F" w:rsidP="00A61C37">
            <w:pPr>
              <w:spacing w:line="240" w:lineRule="auto"/>
              <w:ind w:leftChars="0" w:left="0" w:firstLineChars="0" w:firstLine="0"/>
            </w:pPr>
            <w:r>
              <w:t>Lack of public participation related to fair use.</w:t>
            </w:r>
          </w:p>
        </w:tc>
        <w:tc>
          <w:tcPr>
            <w:tcW w:w="1000" w:type="pct"/>
          </w:tcPr>
          <w:p w:rsidR="0035110F" w:rsidRDefault="0035110F" w:rsidP="00A61C37">
            <w:pPr>
              <w:spacing w:line="240" w:lineRule="auto"/>
              <w:ind w:leftChars="0" w:left="0" w:firstLineChars="0" w:firstLine="0"/>
            </w:pPr>
            <w:r>
              <w:t>There was sufficient public involvement on whether to use “fair use”. However, Parliament has significant discretion in respect of the facilitation of public involvement (S59 of the Constitution) - may request further submissions from the public.</w:t>
            </w:r>
          </w:p>
        </w:tc>
        <w:tc>
          <w:tcPr>
            <w:tcW w:w="1000" w:type="pct"/>
          </w:tcPr>
          <w:p w:rsidR="0035110F" w:rsidRDefault="0035110F">
            <w:pPr>
              <w:widowControl w:val="0"/>
              <w:tabs>
                <w:tab w:val="left" w:pos="821"/>
              </w:tabs>
              <w:ind w:left="0" w:right="112" w:hanging="2"/>
            </w:pPr>
            <w:r>
              <w:t>The ANC agrees with the President’s reservation; therefore, the fair use clause (section 12A) should be reopened for public comment.</w:t>
            </w:r>
          </w:p>
        </w:tc>
        <w:tc>
          <w:tcPr>
            <w:tcW w:w="1000" w:type="pct"/>
          </w:tcPr>
          <w:p w:rsidR="0035110F" w:rsidRDefault="0035110F">
            <w:pPr>
              <w:widowControl w:val="0"/>
              <w:tabs>
                <w:tab w:val="left" w:pos="821"/>
              </w:tabs>
              <w:ind w:left="0" w:right="112" w:hanging="2"/>
            </w:pPr>
            <w:r w:rsidRPr="00A61C37">
              <w:t>It is obvious and clear that there was a lack of public participation and should be reopened.</w:t>
            </w:r>
          </w:p>
        </w:tc>
        <w:tc>
          <w:tcPr>
            <w:tcW w:w="1000" w:type="pct"/>
          </w:tcPr>
          <w:p w:rsidR="0035110F" w:rsidRDefault="00494316">
            <w:pPr>
              <w:widowControl w:val="0"/>
              <w:tabs>
                <w:tab w:val="left" w:pos="821"/>
              </w:tabs>
              <w:ind w:left="0" w:right="112" w:hanging="2"/>
            </w:pPr>
            <w:r>
              <w:t>EFF – agree</w:t>
            </w:r>
          </w:p>
          <w:p w:rsidR="00494316" w:rsidRPr="00A61C37" w:rsidRDefault="00494316">
            <w:pPr>
              <w:widowControl w:val="0"/>
              <w:tabs>
                <w:tab w:val="left" w:pos="821"/>
              </w:tabs>
              <w:ind w:left="0" w:right="112" w:hanging="2"/>
            </w:pPr>
            <w:r>
              <w:t xml:space="preserve">ACDP – agree </w:t>
            </w:r>
          </w:p>
        </w:tc>
      </w:tr>
      <w:tr w:rsidR="0035110F" w:rsidTr="0035110F">
        <w:tc>
          <w:tcPr>
            <w:tcW w:w="1000" w:type="pct"/>
          </w:tcPr>
          <w:p w:rsidR="0035110F" w:rsidRDefault="0035110F" w:rsidP="00A61C37">
            <w:pPr>
              <w:spacing w:line="240" w:lineRule="auto"/>
              <w:ind w:leftChars="0" w:left="0" w:firstLineChars="0" w:firstLine="0"/>
            </w:pPr>
            <w:r>
              <w:t xml:space="preserve">The copyright exceptions – some clauses may: </w:t>
            </w:r>
          </w:p>
          <w:p w:rsidR="0035110F" w:rsidRDefault="0035110F">
            <w:pPr>
              <w:numPr>
                <w:ilvl w:val="0"/>
                <w:numId w:val="1"/>
              </w:numPr>
              <w:pBdr>
                <w:top w:val="nil"/>
                <w:left w:val="nil"/>
                <w:bottom w:val="nil"/>
                <w:right w:val="nil"/>
                <w:between w:val="nil"/>
              </w:pBdr>
              <w:spacing w:line="240" w:lineRule="auto"/>
              <w:ind w:left="0" w:hanging="2"/>
            </w:pPr>
            <w:r>
              <w:t>Constitute arbitrary deprivation of property;</w:t>
            </w:r>
          </w:p>
          <w:p w:rsidR="0035110F" w:rsidRDefault="0035110F">
            <w:pPr>
              <w:numPr>
                <w:ilvl w:val="0"/>
                <w:numId w:val="1"/>
              </w:numPr>
              <w:pBdr>
                <w:top w:val="nil"/>
                <w:left w:val="nil"/>
                <w:bottom w:val="nil"/>
                <w:right w:val="nil"/>
                <w:between w:val="nil"/>
              </w:pBdr>
              <w:spacing w:line="240" w:lineRule="auto"/>
              <w:ind w:left="0" w:hanging="2"/>
            </w:pPr>
            <w:r>
              <w:t>Affect the right to freedom of trade, occupation and profession.</w:t>
            </w:r>
          </w:p>
        </w:tc>
        <w:tc>
          <w:tcPr>
            <w:tcW w:w="1000" w:type="pct"/>
          </w:tcPr>
          <w:p w:rsidR="0035110F" w:rsidRDefault="0035110F" w:rsidP="00A61C37">
            <w:pPr>
              <w:spacing w:line="240" w:lineRule="auto"/>
              <w:ind w:leftChars="0" w:left="0" w:firstLineChars="0" w:firstLine="0"/>
            </w:pPr>
            <w:r>
              <w:t>The copyright exceptions are not arbitrary deprivation, do not limit the right to choose a trade, occupation or profession and comply with the three step test.</w:t>
            </w:r>
          </w:p>
        </w:tc>
        <w:tc>
          <w:tcPr>
            <w:tcW w:w="1000" w:type="pct"/>
          </w:tcPr>
          <w:p w:rsidR="0035110F" w:rsidRDefault="0035110F">
            <w:pPr>
              <w:widowControl w:val="0"/>
              <w:tabs>
                <w:tab w:val="left" w:pos="821"/>
              </w:tabs>
              <w:ind w:left="0" w:right="113" w:hanging="2"/>
            </w:pPr>
            <w:r>
              <w:t>The ANC is of the view that the exceptions should be retained. The copyright exceptions do not constitute arbitrary deprivation of property, do not limit the right to choose a trade, occupation or profession and are not in breach of the three-step test. However, the ANC is of the view that the Committee should err on the side of caution with regard to the three-step test and open these sections for public comment as part of the fair use clauses.</w:t>
            </w:r>
          </w:p>
          <w:p w:rsidR="0035110F" w:rsidRDefault="0035110F" w:rsidP="0035110F">
            <w:pPr>
              <w:widowControl w:val="0"/>
              <w:tabs>
                <w:tab w:val="left" w:pos="821"/>
              </w:tabs>
              <w:ind w:leftChars="0" w:left="0" w:right="113" w:firstLineChars="0" w:firstLine="0"/>
              <w:jc w:val="left"/>
            </w:pPr>
          </w:p>
          <w:p w:rsidR="0035110F" w:rsidRDefault="0035110F">
            <w:pPr>
              <w:widowControl w:val="0"/>
              <w:tabs>
                <w:tab w:val="left" w:pos="821"/>
              </w:tabs>
              <w:ind w:left="0" w:right="113" w:hanging="2"/>
            </w:pPr>
            <w:r>
              <w:t>Clauses to be affected are:</w:t>
            </w:r>
          </w:p>
          <w:p w:rsidR="0035110F" w:rsidRDefault="0035110F">
            <w:pPr>
              <w:widowControl w:val="0"/>
              <w:ind w:left="0" w:right="115" w:hanging="2"/>
            </w:pPr>
            <w:r>
              <w:t>Clause 13 [inserting sections 12A, 12B(1)(a)(i), 12B(1)(c), 12B(1)(e)(i), 12B(1)(f), 12C and 12D], clause 19 [inserting section 19B] and clause 20 [inserting sections 19C(3), 19C(4), 19C(5)(b) and 19C(9)]</w:t>
            </w:r>
          </w:p>
          <w:p w:rsidR="0035110F" w:rsidRDefault="0035110F">
            <w:pPr>
              <w:spacing w:line="240" w:lineRule="auto"/>
              <w:ind w:left="0" w:hanging="2"/>
            </w:pPr>
          </w:p>
        </w:tc>
        <w:tc>
          <w:tcPr>
            <w:tcW w:w="1000" w:type="pct"/>
          </w:tcPr>
          <w:p w:rsidR="0035110F" w:rsidRDefault="0035110F" w:rsidP="00A61C37">
            <w:pPr>
              <w:widowControl w:val="0"/>
              <w:tabs>
                <w:tab w:val="left" w:pos="821"/>
              </w:tabs>
              <w:ind w:left="0" w:right="113" w:hanging="2"/>
            </w:pPr>
            <w:r w:rsidRPr="00A61C37">
              <w:t>Agree with the President</w:t>
            </w:r>
            <w:r>
              <w:t>’</w:t>
            </w:r>
            <w:r w:rsidRPr="00A61C37">
              <w:t>s concerns regarding arbitrary deprivation and affect freedom to trade. Should be amended as such.</w:t>
            </w:r>
          </w:p>
        </w:tc>
        <w:tc>
          <w:tcPr>
            <w:tcW w:w="1000" w:type="pct"/>
          </w:tcPr>
          <w:p w:rsidR="0035110F" w:rsidRDefault="00494316" w:rsidP="00A61C37">
            <w:pPr>
              <w:widowControl w:val="0"/>
              <w:tabs>
                <w:tab w:val="left" w:pos="821"/>
              </w:tabs>
              <w:ind w:left="0" w:right="113" w:hanging="2"/>
            </w:pPr>
            <w:r>
              <w:t xml:space="preserve">EFF – </w:t>
            </w:r>
            <w:r w:rsidR="00493E23">
              <w:t>agree</w:t>
            </w:r>
          </w:p>
          <w:p w:rsidR="00494316" w:rsidRPr="00A61C37" w:rsidRDefault="00494316" w:rsidP="00A61C37">
            <w:pPr>
              <w:widowControl w:val="0"/>
              <w:tabs>
                <w:tab w:val="left" w:pos="821"/>
              </w:tabs>
              <w:ind w:left="0" w:right="113" w:hanging="2"/>
            </w:pPr>
            <w:r>
              <w:t xml:space="preserve">ACDP </w:t>
            </w:r>
            <w:r w:rsidR="00493E23">
              <w:t>–</w:t>
            </w:r>
            <w:r>
              <w:t xml:space="preserve"> </w:t>
            </w:r>
            <w:r w:rsidR="00493E23">
              <w:t>agree with erring on side of caution</w:t>
            </w:r>
          </w:p>
        </w:tc>
      </w:tr>
      <w:tr w:rsidR="0035110F" w:rsidTr="0035110F">
        <w:tc>
          <w:tcPr>
            <w:tcW w:w="1000" w:type="pct"/>
          </w:tcPr>
          <w:p w:rsidR="0035110F" w:rsidRDefault="0035110F" w:rsidP="00A61C37">
            <w:pPr>
              <w:spacing w:line="240" w:lineRule="auto"/>
              <w:ind w:leftChars="0" w:left="0" w:firstLineChars="0" w:firstLine="0"/>
            </w:pPr>
            <w:r>
              <w:t>Do the Bills comply with International Treaty Implications?</w:t>
            </w:r>
          </w:p>
        </w:tc>
        <w:tc>
          <w:tcPr>
            <w:tcW w:w="1000" w:type="pct"/>
          </w:tcPr>
          <w:p w:rsidR="0035110F" w:rsidRDefault="0035110F" w:rsidP="00A61C37">
            <w:pPr>
              <w:spacing w:line="240" w:lineRule="auto"/>
              <w:ind w:leftChars="0" w:left="0" w:firstLineChars="0" w:firstLine="0"/>
            </w:pPr>
            <w:r>
              <w:t>This reservation should not be considered as it falls outside section 79(1). However, the Committee may decide to reconsider the remitted Bills in respect of compliance with the treaties and make any amendments it deems necessary.</w:t>
            </w:r>
          </w:p>
        </w:tc>
        <w:tc>
          <w:tcPr>
            <w:tcW w:w="1000" w:type="pct"/>
          </w:tcPr>
          <w:p w:rsidR="0035110F" w:rsidRDefault="0035110F">
            <w:pPr>
              <w:widowControl w:val="0"/>
              <w:tabs>
                <w:tab w:val="left" w:pos="821"/>
              </w:tabs>
              <w:ind w:left="0" w:right="110" w:hanging="2"/>
            </w:pPr>
            <w:r>
              <w:t xml:space="preserve">The view of the ANC is that there was a serious consideration of alignment between international treaties and the contents of the Bills, in the process of the amendments of the Bills. </w:t>
            </w:r>
          </w:p>
          <w:p w:rsidR="0035110F" w:rsidRDefault="0035110F">
            <w:pPr>
              <w:widowControl w:val="0"/>
              <w:tabs>
                <w:tab w:val="left" w:pos="821"/>
              </w:tabs>
              <w:ind w:left="0" w:right="110" w:hanging="2"/>
            </w:pPr>
          </w:p>
          <w:p w:rsidR="0035110F" w:rsidRDefault="0035110F">
            <w:pPr>
              <w:widowControl w:val="0"/>
              <w:tabs>
                <w:tab w:val="left" w:pos="821"/>
              </w:tabs>
              <w:ind w:left="0" w:right="110" w:hanging="2"/>
            </w:pPr>
            <w:r>
              <w:t>In appreciation of the President's reservation and a conscious preference to err on the side of caution, we hold a view that a reasonable balance and alignment with the provisions of section 231 and 233 of the Constitution of the Republic must be thoroughly interrogated. This view must also form part of the areas to be dealt with through oral and written submissions arising from further engagement and participation of the public.</w:t>
            </w:r>
          </w:p>
        </w:tc>
        <w:tc>
          <w:tcPr>
            <w:tcW w:w="1000" w:type="pct"/>
          </w:tcPr>
          <w:p w:rsidR="0035110F" w:rsidRDefault="00493E23">
            <w:pPr>
              <w:widowControl w:val="0"/>
              <w:tabs>
                <w:tab w:val="left" w:pos="821"/>
              </w:tabs>
              <w:ind w:left="0" w:right="110" w:hanging="2"/>
            </w:pPr>
            <w:r>
              <w:t>Disagree that it complies</w:t>
            </w:r>
          </w:p>
        </w:tc>
        <w:tc>
          <w:tcPr>
            <w:tcW w:w="1000" w:type="pct"/>
          </w:tcPr>
          <w:p w:rsidR="0035110F" w:rsidRDefault="00493E23">
            <w:pPr>
              <w:widowControl w:val="0"/>
              <w:tabs>
                <w:tab w:val="left" w:pos="821"/>
              </w:tabs>
              <w:ind w:left="0" w:right="110" w:hanging="2"/>
            </w:pPr>
            <w:r>
              <w:t>EFF – No comment</w:t>
            </w:r>
          </w:p>
          <w:p w:rsidR="00493E23" w:rsidRDefault="00493E23">
            <w:pPr>
              <w:widowControl w:val="0"/>
              <w:tabs>
                <w:tab w:val="left" w:pos="821"/>
              </w:tabs>
              <w:ind w:left="0" w:right="110" w:hanging="2"/>
            </w:pPr>
            <w:r>
              <w:t>ACDP – agree that there is a challenge with compliance</w:t>
            </w:r>
          </w:p>
        </w:tc>
      </w:tr>
    </w:tbl>
    <w:p w:rsidR="00DD487A" w:rsidRDefault="00DD487A">
      <w:pPr>
        <w:spacing w:line="276" w:lineRule="auto"/>
        <w:ind w:left="0" w:hanging="2"/>
        <w:rPr>
          <w:sz w:val="22"/>
          <w:szCs w:val="22"/>
        </w:rPr>
      </w:pPr>
    </w:p>
    <w:p w:rsidR="00DD487A" w:rsidRDefault="00DD487A">
      <w:pPr>
        <w:spacing w:line="276" w:lineRule="auto"/>
        <w:ind w:left="0" w:hanging="2"/>
        <w:rPr>
          <w:sz w:val="22"/>
          <w:szCs w:val="22"/>
        </w:rPr>
      </w:pPr>
    </w:p>
    <w:sectPr w:rsidR="00DD487A">
      <w:headerReference w:type="even" r:id="rId8"/>
      <w:headerReference w:type="default" r:id="rId9"/>
      <w:headerReference w:type="first" r:id="rId10"/>
      <w:pgSz w:w="16838" w:h="11906" w:orient="landscape"/>
      <w:pgMar w:top="1560" w:right="2516" w:bottom="851" w:left="567" w:header="1134"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6C" w:rsidRDefault="005D506C">
      <w:pPr>
        <w:spacing w:line="240" w:lineRule="auto"/>
        <w:ind w:left="0" w:hanging="2"/>
      </w:pPr>
      <w:r>
        <w:separator/>
      </w:r>
    </w:p>
  </w:endnote>
  <w:endnote w:type="continuationSeparator" w:id="0">
    <w:p w:rsidR="005D506C" w:rsidRDefault="005D50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Dax-Regular">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6C" w:rsidRDefault="005D506C">
      <w:pPr>
        <w:spacing w:line="240" w:lineRule="auto"/>
        <w:ind w:left="0" w:hanging="2"/>
      </w:pPr>
      <w:r>
        <w:separator/>
      </w:r>
    </w:p>
  </w:footnote>
  <w:footnote w:type="continuationSeparator" w:id="0">
    <w:p w:rsidR="005D506C" w:rsidRDefault="005D506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B5" w:rsidRDefault="009617B5">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B5" w:rsidRDefault="009617B5">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7A" w:rsidRDefault="009617B5">
    <w:pPr>
      <w:ind w:left="0" w:hanging="2"/>
    </w:pPr>
    <w:r>
      <w:rPr>
        <w:noProof/>
        <w:lang w:val="en-ZA" w:eastAsia="en-ZA"/>
      </w:rPr>
      <mc:AlternateContent>
        <mc:Choice Requires="wps">
          <w:drawing>
            <wp:anchor distT="0" distB="0" distL="0" distR="0" simplePos="0" relativeHeight="251658240" behindDoc="0" locked="0" layoutInCell="1" hidden="0" allowOverlap="1" wp14:editId="027CC8E4">
              <wp:simplePos x="0" y="0"/>
              <wp:positionH relativeFrom="column">
                <wp:posOffset>5796096</wp:posOffset>
              </wp:positionH>
              <wp:positionV relativeFrom="paragraph">
                <wp:posOffset>-189865</wp:posOffset>
              </wp:positionV>
              <wp:extent cx="3619500" cy="131889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3619500" cy="1318895"/>
                      </a:xfrm>
                      <a:prstGeom prst="rect">
                        <a:avLst/>
                      </a:prstGeom>
                      <a:noFill/>
                      <a:ln>
                        <a:noFill/>
                      </a:ln>
                    </wps:spPr>
                    <wps:txbx>
                      <w:txbxContent>
                        <w:p w:rsidR="00DD487A" w:rsidRDefault="005D506C">
                          <w:pPr>
                            <w:spacing w:line="240" w:lineRule="auto"/>
                            <w:ind w:left="0" w:hanging="2"/>
                          </w:pPr>
                          <w:r>
                            <w:rPr>
                              <w:b/>
                              <w:color w:val="275937"/>
                              <w:sz w:val="20"/>
                            </w:rPr>
                            <w:t>COMMITTEES SECTION</w:t>
                          </w:r>
                        </w:p>
                        <w:p w:rsidR="00DD487A" w:rsidRDefault="005D506C">
                          <w:pPr>
                            <w:spacing w:line="240" w:lineRule="auto"/>
                            <w:ind w:left="0" w:hanging="2"/>
                            <w:jc w:val="both"/>
                          </w:pPr>
                          <w:r>
                            <w:rPr>
                              <w:b/>
                              <w:color w:val="275937"/>
                              <w:sz w:val="20"/>
                            </w:rPr>
                            <w:t>Portfolio Committee on Trade and Industry</w:t>
                          </w:r>
                        </w:p>
                        <w:p w:rsidR="00DD487A" w:rsidRDefault="005D506C">
                          <w:pPr>
                            <w:spacing w:line="240" w:lineRule="auto"/>
                            <w:ind w:left="0" w:hanging="2"/>
                          </w:pPr>
                          <w:r>
                            <w:rPr>
                              <w:color w:val="275937"/>
                              <w:sz w:val="20"/>
                            </w:rPr>
                            <w:t>P.O. Box 15 Cape Town 8000 RSA</w:t>
                          </w:r>
                        </w:p>
                        <w:p w:rsidR="00DD487A" w:rsidRDefault="005D506C">
                          <w:pPr>
                            <w:spacing w:line="240" w:lineRule="auto"/>
                            <w:ind w:left="0" w:hanging="2"/>
                          </w:pPr>
                          <w:r>
                            <w:rPr>
                              <w:color w:val="275937"/>
                              <w:sz w:val="20"/>
                            </w:rPr>
                            <w:t xml:space="preserve">Tel: 27 (21) 403 3776 </w:t>
                          </w:r>
                        </w:p>
                        <w:p w:rsidR="00DD487A" w:rsidRDefault="005D506C">
                          <w:pPr>
                            <w:spacing w:line="240" w:lineRule="auto"/>
                            <w:ind w:left="0" w:hanging="2"/>
                          </w:pPr>
                          <w:r>
                            <w:rPr>
                              <w:color w:val="275937"/>
                              <w:sz w:val="20"/>
                            </w:rPr>
                            <w:t>Cell: 083 709 8482 Emai</w:t>
                          </w:r>
                          <w:r w:rsidR="009617B5">
                            <w:rPr>
                              <w:color w:val="275937"/>
                              <w:sz w:val="20"/>
                            </w:rPr>
                            <w:t xml:space="preserve">l: ahermans@parliament.gov.za </w:t>
                          </w:r>
                        </w:p>
                        <w:p w:rsidR="00DD487A" w:rsidRDefault="005D506C">
                          <w:pPr>
                            <w:spacing w:line="240" w:lineRule="auto"/>
                            <w:ind w:left="0" w:hanging="2"/>
                          </w:pPr>
                          <w:r>
                            <w:rPr>
                              <w:color w:val="275937"/>
                              <w:sz w:val="20"/>
                            </w:rPr>
                            <w:t>www.parliament.gov.za</w:t>
                          </w:r>
                        </w:p>
                        <w:p w:rsidR="00DD487A" w:rsidRDefault="00DD487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456.4pt;margin-top:-14.95pt;width:285pt;height:103.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xQEAAHUDAAAOAAAAZHJzL2Uyb0RvYy54bWysU9uO0zAQfUfiHyy/0yTtdmmjpivEqghp&#10;BRULHzB17MaSb9huk/49YyfbLfCGeHE9l54553iyeRi0Imfug7SmodWspIQbZltpjg398X33bkVJ&#10;iGBaUNbwhl54oA/bt282vav53HZWtdwTBDGh7l1DuxhdXRSBdVxDmFnHDRaF9Roihv5YtB56RNeq&#10;mJflfdFb3zpvGQ8Bs49jkW4zvhCcxa9CBB6Jaihyi/n0+Tyks9huoD56cJ1kEw34BxYapMGhV6hH&#10;iEBOXv4FpSXzNlgRZ8zqwgohGc8aUE1V/qHmuQPHsxY0J7irTeH/wbIv570nsm3oghIDGp/oG5oG&#10;5qg4WSR7ehdq7Hp2ez9FAa9J6yC8Tr+oggzZ0svVUj5EwjC5uK/WyxKdZ1irFtVqtV4m1OL1786H&#10;+IlbTdKloR7HZyvh/BTi2PrSkqYZu5NKYR5qZX5LIGbKFInxyDHd4nAYJuIH215QbXBsJ3HWE4S4&#10;B4/vXVHS4w40NPw8geeUqM8GTV5Xd/MlLk0O7pbvkw5/WzncVsCwzuJqRUrG68eYF23k+OEUrZBZ&#10;T2I1UpnI4ttmR6Y9TMtzG+eu169l+wsAAP//AwBQSwMEFAAGAAgAAAAhABpUYereAAAADAEAAA8A&#10;AABkcnMvZG93bnJldi54bWxMjzFvgzAQhfdK/Q/WVeqWGFCaAMVEVdUOHUsyZHTwBVDtM7JNQv59&#10;zdRud++e3vuu2s9Gsys6P1gSkK4TYEitVQN1Ao6Hz1UOzAdJSmpLKOCOHvb140MlS2Vv9I3XJnQs&#10;hpAvpYA+hLHk3Lc9GunXdkSKt4t1Roa4uo4rJ28x3GieJcmWGzlQbOjliO89tj/NZASMqNWkN01y&#10;avmHo3T7deD3FyGen+a3V2AB5/BnhgU/okMdmc52IuWZFlCkWUQPAlZZUQBbHJt8kc5x2u1y4HXF&#10;/z9R/wIAAP//AwBQSwECLQAUAAYACAAAACEAtoM4kv4AAADhAQAAEwAAAAAAAAAAAAAAAAAAAAAA&#10;W0NvbnRlbnRfVHlwZXNdLnhtbFBLAQItABQABgAIAAAAIQA4/SH/1gAAAJQBAAALAAAAAAAAAAAA&#10;AAAAAC8BAABfcmVscy8ucmVsc1BLAQItABQABgAIAAAAIQC/6/I5xQEAAHUDAAAOAAAAAAAAAAAA&#10;AAAAAC4CAABkcnMvZTJvRG9jLnhtbFBLAQItABQABgAIAAAAIQAaVGHq3gAAAAwBAAAPAAAAAAAA&#10;AAAAAAAAAB8EAABkcnMvZG93bnJldi54bWxQSwUGAAAAAAQABADzAAAAKgUAAAAA&#10;" filled="f" stroked="f">
              <v:textbox inset="2.53958mm,1.2694mm,2.53958mm,1.2694mm">
                <w:txbxContent>
                  <w:p w:rsidR="00DD487A" w:rsidRDefault="005D506C">
                    <w:pPr>
                      <w:spacing w:line="240" w:lineRule="auto"/>
                      <w:ind w:left="0" w:hanging="2"/>
                    </w:pPr>
                    <w:r>
                      <w:rPr>
                        <w:b/>
                        <w:color w:val="275937"/>
                        <w:sz w:val="20"/>
                      </w:rPr>
                      <w:t>COMMITTEES SECTION</w:t>
                    </w:r>
                  </w:p>
                  <w:p w:rsidR="00DD487A" w:rsidRDefault="005D506C">
                    <w:pPr>
                      <w:spacing w:line="240" w:lineRule="auto"/>
                      <w:ind w:left="0" w:hanging="2"/>
                      <w:jc w:val="both"/>
                    </w:pPr>
                    <w:r>
                      <w:rPr>
                        <w:b/>
                        <w:color w:val="275937"/>
                        <w:sz w:val="20"/>
                      </w:rPr>
                      <w:t>Portfolio Committee on Trade and Industry</w:t>
                    </w:r>
                  </w:p>
                  <w:p w:rsidR="00DD487A" w:rsidRDefault="005D506C">
                    <w:pPr>
                      <w:spacing w:line="240" w:lineRule="auto"/>
                      <w:ind w:left="0" w:hanging="2"/>
                    </w:pPr>
                    <w:r>
                      <w:rPr>
                        <w:color w:val="275937"/>
                        <w:sz w:val="20"/>
                      </w:rPr>
                      <w:t>P.O. Box 15 Cape Town 8000 RSA</w:t>
                    </w:r>
                  </w:p>
                  <w:p w:rsidR="00DD487A" w:rsidRDefault="005D506C">
                    <w:pPr>
                      <w:spacing w:line="240" w:lineRule="auto"/>
                      <w:ind w:left="0" w:hanging="2"/>
                    </w:pPr>
                    <w:r>
                      <w:rPr>
                        <w:color w:val="275937"/>
                        <w:sz w:val="20"/>
                      </w:rPr>
                      <w:t xml:space="preserve">Tel: 27 (21) 403 3776 </w:t>
                    </w:r>
                  </w:p>
                  <w:p w:rsidR="00DD487A" w:rsidRDefault="005D506C">
                    <w:pPr>
                      <w:spacing w:line="240" w:lineRule="auto"/>
                      <w:ind w:left="0" w:hanging="2"/>
                    </w:pPr>
                    <w:r>
                      <w:rPr>
                        <w:color w:val="275937"/>
                        <w:sz w:val="20"/>
                      </w:rPr>
                      <w:t>Cell: 083 709 8482 Emai</w:t>
                    </w:r>
                    <w:r w:rsidR="009617B5">
                      <w:rPr>
                        <w:color w:val="275937"/>
                        <w:sz w:val="20"/>
                      </w:rPr>
                      <w:t xml:space="preserve">l: ahermans@parliament.gov.za </w:t>
                    </w:r>
                  </w:p>
                  <w:p w:rsidR="00DD487A" w:rsidRDefault="005D506C">
                    <w:pPr>
                      <w:spacing w:line="240" w:lineRule="auto"/>
                      <w:ind w:left="0" w:hanging="2"/>
                    </w:pPr>
                    <w:r>
                      <w:rPr>
                        <w:color w:val="275937"/>
                        <w:sz w:val="20"/>
                      </w:rPr>
                      <w:t>www.parliament.gov.za</w:t>
                    </w:r>
                  </w:p>
                  <w:p w:rsidR="00DD487A" w:rsidRDefault="00DD487A">
                    <w:pPr>
                      <w:spacing w:line="240" w:lineRule="auto"/>
                      <w:ind w:left="0" w:hanging="2"/>
                    </w:pPr>
                  </w:p>
                </w:txbxContent>
              </v:textbox>
              <w10:wrap type="square"/>
            </v:rect>
          </w:pict>
        </mc:Fallback>
      </mc:AlternateContent>
    </w:r>
    <w:r w:rsidR="005D506C">
      <w:t xml:space="preserve">  </w:t>
    </w:r>
    <w:r w:rsidR="005D506C">
      <w:rPr>
        <w:noProof/>
        <w:lang w:val="en-ZA" w:eastAsia="en-ZA"/>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0</wp:posOffset>
          </wp:positionV>
          <wp:extent cx="2543810" cy="82423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3810" cy="8242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B65B8"/>
    <w:multiLevelType w:val="hybridMultilevel"/>
    <w:tmpl w:val="1148541E"/>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1" w15:restartNumberingAfterBreak="0">
    <w:nsid w:val="53E71593"/>
    <w:multiLevelType w:val="multilevel"/>
    <w:tmpl w:val="A78E6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1363D2"/>
    <w:multiLevelType w:val="multilevel"/>
    <w:tmpl w:val="9112F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7A"/>
    <w:rsid w:val="0035110F"/>
    <w:rsid w:val="00493E23"/>
    <w:rsid w:val="00494316"/>
    <w:rsid w:val="005D506C"/>
    <w:rsid w:val="006A5119"/>
    <w:rsid w:val="008F6548"/>
    <w:rsid w:val="009617B5"/>
    <w:rsid w:val="00A61C37"/>
    <w:rsid w:val="00DD487A"/>
    <w:rsid w:val="00F674E8"/>
    <w:rsid w:val="00F764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FD5A"/>
  <w15:docId w15:val="{B15A0C23-D032-4E47-A078-F5DA6676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en-GB" w:eastAsia="en-Z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80" w:lineRule="atLeast"/>
      <w:ind w:leftChars="-1" w:left="-1" w:hangingChars="1"/>
      <w:textDirection w:val="btLr"/>
      <w:textAlignment w:val="top"/>
      <w:outlineLvl w:val="0"/>
    </w:pPr>
    <w:rPr>
      <w:color w:val="000000"/>
      <w:spacing w:val="6"/>
      <w:position w:val="-1"/>
      <w:lang w:eastAsia="en-GB"/>
    </w:rPr>
  </w:style>
  <w:style w:type="paragraph" w:styleId="Heading1">
    <w:name w:val="heading 1"/>
    <w:basedOn w:val="Normal"/>
    <w:next w:val="Normal"/>
    <w:pPr>
      <w:keepNext/>
    </w:pPr>
    <w:rPr>
      <w:b/>
      <w:bCs/>
      <w:kern w:val="32"/>
      <w:sz w:val="20"/>
      <w:szCs w:val="20"/>
    </w:rPr>
  </w:style>
  <w:style w:type="paragraph" w:styleId="Heading2">
    <w:name w:val="heading 2"/>
    <w:basedOn w:val="Normal"/>
    <w:next w:val="Normal"/>
    <w:pPr>
      <w:keepNext/>
      <w:outlineLvl w:val="1"/>
    </w:pPr>
    <w:rPr>
      <w:b/>
      <w:bCs/>
      <w:iCs/>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line="240" w:lineRule="auto"/>
      <w:jc w:val="both"/>
      <w:outlineLvl w:val="3"/>
    </w:pPr>
    <w:rPr>
      <w:b/>
      <w:bCs/>
      <w:color w:val="001F00"/>
    </w:rPr>
  </w:style>
  <w:style w:type="paragraph" w:styleId="Heading5">
    <w:name w:val="heading 5"/>
    <w:basedOn w:val="Normal"/>
    <w:next w:val="Normal"/>
    <w:pPr>
      <w:keepNext/>
      <w:outlineLvl w:val="4"/>
    </w:pPr>
    <w:rPr>
      <w:rFonts w:ascii="Dax-Regular" w:hAnsi="Dax-Regular"/>
      <w:b/>
      <w:bCs/>
      <w:color w:val="275937"/>
      <w:spacing w:val="0"/>
      <w:position w:val="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FooterChar">
    <w:name w:val="Footer Char"/>
    <w:rPr>
      <w:rFonts w:ascii="Arial" w:hAnsi="Arial"/>
      <w:w w:val="100"/>
      <w:position w:val="-1"/>
      <w:sz w:val="14"/>
      <w:szCs w:val="14"/>
      <w:effect w:val="none"/>
      <w:vertAlign w:val="baseline"/>
      <w:cs w:val="0"/>
      <w:em w:val="none"/>
      <w:lang w:val="en-GB" w:eastAsia="en-GB" w:bidi="ar-SA"/>
    </w:rPr>
  </w:style>
  <w:style w:type="character" w:customStyle="1" w:styleId="FooterboldChar">
    <w:name w:val="Footer bold Char"/>
    <w:rPr>
      <w:rFonts w:ascii="Arial" w:hAnsi="Arial"/>
      <w:b/>
      <w:w w:val="100"/>
      <w:position w:val="-1"/>
      <w:sz w:val="14"/>
      <w:szCs w:val="14"/>
      <w:effect w:val="none"/>
      <w:vertAlign w:val="baseline"/>
      <w:cs w:val="0"/>
      <w:em w:val="none"/>
      <w:lang w:val="en-GB" w:eastAsia="en-GB" w:bidi="ar-SA"/>
    </w:r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customStyle="1" w:styleId="Normalboldwhite">
    <w:name w:val="Normal bold white"/>
    <w:basedOn w:val="Normalbold"/>
    <w:rPr>
      <w:color w:val="FFFFFF"/>
      <w:lang w:val="en-US"/>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spacing w:line="240" w:lineRule="auto"/>
    </w:pPr>
    <w:rPr>
      <w:rFonts w:ascii="Tahoma" w:hAnsi="Tahoma" w:cs="Tahoma"/>
      <w:color w:val="auto"/>
      <w:spacing w:val="0"/>
      <w:sz w:val="28"/>
      <w:szCs w:val="24"/>
      <w:lang w:val="en-US" w:eastAsia="en-US"/>
    </w:rPr>
  </w:style>
  <w:style w:type="paragraph" w:styleId="BalloonText">
    <w:name w:val="Balloon Text"/>
    <w:basedOn w:val="Normal"/>
    <w:rPr>
      <w:rFonts w:ascii="Tahoma" w:hAnsi="Tahoma" w:cs="Tahoma"/>
      <w:sz w:val="16"/>
      <w:szCs w:val="16"/>
    </w:rPr>
  </w:style>
  <w:style w:type="paragraph" w:customStyle="1" w:styleId="Char">
    <w:name w:val="Char"/>
    <w:basedOn w:val="Normal"/>
    <w:pPr>
      <w:spacing w:after="160" w:line="240" w:lineRule="atLeast"/>
    </w:pPr>
    <w:rPr>
      <w:bCs/>
      <w:color w:val="auto"/>
      <w:spacing w:val="0"/>
      <w:sz w:val="22"/>
      <w:szCs w:val="24"/>
      <w:lang w:val="en-US"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eastAsia="MS Mincho"/>
      <w:color w:val="000000"/>
      <w:position w:val="-1"/>
      <w:sz w:val="24"/>
      <w:szCs w:val="24"/>
      <w:lang w:eastAsia="ja-JP"/>
    </w:rPr>
  </w:style>
  <w:style w:type="paragraph" w:styleId="Revision">
    <w:name w:val="Revision"/>
    <w:pPr>
      <w:suppressAutoHyphens/>
      <w:spacing w:line="1" w:lineRule="atLeast"/>
      <w:ind w:leftChars="-1" w:left="-1" w:hangingChars="1"/>
      <w:textDirection w:val="btLr"/>
      <w:textAlignment w:val="top"/>
      <w:outlineLvl w:val="0"/>
    </w:pPr>
    <w:rPr>
      <w:color w:val="000000"/>
      <w:spacing w:val="6"/>
      <w:position w:val="-1"/>
      <w:lang w:eastAsia="en-GB"/>
    </w:rPr>
  </w:style>
  <w:style w:type="paragraph" w:customStyle="1" w:styleId="ListParagraph1">
    <w:name w:val="List Paragraph1"/>
    <w:aliases w:val="List Paragraph 1"/>
    <w:basedOn w:val="Normal"/>
    <w:pPr>
      <w:spacing w:after="160" w:line="259" w:lineRule="auto"/>
      <w:ind w:left="720"/>
      <w:contextualSpacing/>
    </w:pPr>
    <w:rPr>
      <w:rFonts w:ascii="Calibri" w:eastAsia="Calibri" w:hAnsi="Calibri"/>
      <w:color w:val="auto"/>
      <w:spacing w:val="0"/>
      <w:sz w:val="22"/>
      <w:szCs w:val="22"/>
      <w:lang w:val="en-ZA" w:eastAsia="en-US"/>
    </w:rPr>
  </w:style>
  <w:style w:type="character" w:customStyle="1" w:styleId="ListParagraphChar">
    <w:name w:val="List Paragraph Char"/>
    <w:aliases w:val="List Paragraph 1 Char"/>
    <w:rPr>
      <w:rFonts w:ascii="Calibri" w:eastAsia="Calibri" w:hAnsi="Calibri"/>
      <w:w w:val="100"/>
      <w:position w:val="-1"/>
      <w:sz w:val="22"/>
      <w:szCs w:val="22"/>
      <w:effect w:val="none"/>
      <w:vertAlign w:val="baseline"/>
      <w:cs w:val="0"/>
      <w:em w:val="none"/>
      <w:lang w:eastAsia="en-US"/>
    </w:rPr>
  </w:style>
  <w:style w:type="paragraph" w:styleId="NormalWeb">
    <w:name w:val="Normal (Web)"/>
    <w:basedOn w:val="Normal"/>
    <w:qFormat/>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e24kjd">
    <w:name w:val="e24kjd"/>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jc w:val="both"/>
      <w:textDirection w:val="btLr"/>
      <w:textAlignment w:val="top"/>
      <w:outlineLvl w:val="0"/>
    </w:pPr>
    <w:rPr>
      <w:rFonts w:eastAsia="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ED16B5"/>
    <w:rPr>
      <w:sz w:val="16"/>
      <w:szCs w:val="16"/>
    </w:rPr>
  </w:style>
  <w:style w:type="paragraph" w:styleId="CommentText">
    <w:name w:val="annotation text"/>
    <w:basedOn w:val="Normal"/>
    <w:link w:val="CommentTextChar"/>
    <w:uiPriority w:val="99"/>
    <w:semiHidden/>
    <w:unhideWhenUsed/>
    <w:rsid w:val="00ED16B5"/>
    <w:pPr>
      <w:spacing w:line="240" w:lineRule="auto"/>
    </w:pPr>
    <w:rPr>
      <w:sz w:val="20"/>
      <w:szCs w:val="20"/>
    </w:rPr>
  </w:style>
  <w:style w:type="character" w:customStyle="1" w:styleId="CommentTextChar">
    <w:name w:val="Comment Text Char"/>
    <w:basedOn w:val="DefaultParagraphFont"/>
    <w:link w:val="CommentText"/>
    <w:uiPriority w:val="99"/>
    <w:semiHidden/>
    <w:rsid w:val="00ED16B5"/>
    <w:rPr>
      <w:color w:val="000000"/>
      <w:spacing w:val="6"/>
      <w:position w:val="-1"/>
      <w:sz w:val="20"/>
      <w:szCs w:val="20"/>
      <w:lang w:eastAsia="en-GB"/>
    </w:rPr>
  </w:style>
  <w:style w:type="paragraph" w:styleId="CommentSubject">
    <w:name w:val="annotation subject"/>
    <w:basedOn w:val="CommentText"/>
    <w:next w:val="CommentText"/>
    <w:link w:val="CommentSubjectChar"/>
    <w:uiPriority w:val="99"/>
    <w:semiHidden/>
    <w:unhideWhenUsed/>
    <w:rsid w:val="00ED16B5"/>
    <w:rPr>
      <w:b/>
      <w:bCs/>
    </w:rPr>
  </w:style>
  <w:style w:type="character" w:customStyle="1" w:styleId="CommentSubjectChar">
    <w:name w:val="Comment Subject Char"/>
    <w:basedOn w:val="CommentTextChar"/>
    <w:link w:val="CommentSubject"/>
    <w:uiPriority w:val="99"/>
    <w:semiHidden/>
    <w:rsid w:val="00ED16B5"/>
    <w:rPr>
      <w:b/>
      <w:bCs/>
      <w:color w:val="000000"/>
      <w:spacing w:val="6"/>
      <w:position w:val="-1"/>
      <w:sz w:val="20"/>
      <w:szCs w:val="20"/>
      <w:lang w:eastAsia="en-GB"/>
    </w:rPr>
  </w:style>
  <w:style w:type="table" w:customStyle="1" w:styleId="a0">
    <w:basedOn w:val="TableNormal"/>
    <w:pPr>
      <w:jc w:val="both"/>
    </w:pPr>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8QBNkyxULluub5NnirkwwktNA==">AMUW2mW6pEh+Mc6iJsYs4oP07/il4THpGIgrF3jUkeDpLRx5BIUqnSIkJzEydUOf/qgLQVAUUNj1F5T31ZK/M/RbuJMbeUSRE5k+3BgbGR0O4qZ+vMvLeI+VAosoizzqhXlAs+/fNmz8S5fgquJHEEf78+YzV+B5gQ5ZQIzTvIQpjQBUMIklMFyAOU4vL+IEemb8zNMP5FGe4DQl5w5pHRs+D1Y83OFxjCEUlEVi8uQvCRXifcQ5MlbVp2+lwtFkltxMPQYID4ao/U4gVKi1MkmQv48XsO5F+IQxhtIJ1wdAN0y4eXFNbz9pGJqVa1Ht7n4ev4dx5ayevKPd7b1dNI3HLPzwa/xj3bb4/nkDraHBAqJFG7k7YADiw+6SqB/XBfaRSZ7q3cT+X4Bq/MfbySTO64J6t7YROJ/bQELk8x3JJ4iz7vBDUrYA1vI7J/mtE0nH8X4cnkhvkH1Fca3u9DxbPc8PZZ4SYbj9Z/M9mfoIjV2NlLf3RCbCAsozAEy7hC/JmVOXY3fYmrhVZTxfExARhEq2QT6EnBQaBkLLmvq9/TasIcn9O1OpXHy62VVgw74mKaF0f9hwpTCS88nfyg8ziUq+oLVFK1HLLF1B92aMY0kHRJezDdncvPSqJgG9FExtgGjWw9sgZNujaW8Ejax9y2ozhO0QR7yz7o9JLv+fMBLUrVj+budaFq5z4qeKSMyp4MiUgYRf4bHGkIKDqkuhbKkQiqNKzXw1safqWkyxkB7v8ac6chPUKDfVDBPDoBRc23HUjmpQ9fIkug8kJBkpdmGAfXlYZ/GlxQqH0GCEIsGbNRvH/mmhg1psiPrwPihCcqlvmrsnloFghuxoImcpkVE24IJ4po1CNFiqiWuLSuzoR46LrBwUHvQit9wGjNAVG78nj8I1EwcmNk9IILkXMnjYrsVS2oIW3OYWc/IwoLmRbHZNuC+aqNo90C9fAz9ta2b5bbrXG0XB9m5IPcOiYH1aPDunYc6NLHpMyy7QeIItywn60jhX4pdNsfq9em31+clNGRvEbMP+/bxlESmy2oL4jz+Xhay/xAUn4ONBetxFiIzqkJ+F5WgbEbTqgXRghHj+bqmQ/qq3VugU+b+WvCE8xGZeGK5n6/t0a2O0P8iMhKcWJ1fz38x7ONMTZiFIWiw7feCigs/HbX/jmSYidUi3BUatjc+xEFHD6PADsR4w+LmQWtH1k4GA0kLw5Z69bdyf7tuQwLOf+L1zCbigpurFm1c7CTytMf7DvmyN3GIJRyZ23WR2Gb6lbjWnDiy7DSe0tUiI6795uwHuNawPZaoLylzoy3odb1dWJuL3t+gUx4C36a4Ap11KcF3RvJRgp60qU8B3W5PXC2Ff3wgvnDxYoCrRS9YWWv1v8CxQ3jk6naubf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van der Bijl</dc:creator>
  <cp:lastModifiedBy>Margot Sheldon</cp:lastModifiedBy>
  <cp:revision>7</cp:revision>
  <dcterms:created xsi:type="dcterms:W3CDTF">2021-05-12T06:30:00Z</dcterms:created>
  <dcterms:modified xsi:type="dcterms:W3CDTF">2021-05-12T06:43:00Z</dcterms:modified>
</cp:coreProperties>
</file>