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39090F">
        <w:rPr>
          <w:b/>
          <w:bCs/>
          <w:sz w:val="24"/>
          <w:u w:val="single"/>
        </w:rPr>
        <w:t>6</w:t>
      </w:r>
      <w:r w:rsidR="00324AC1">
        <w:rPr>
          <w:b/>
          <w:bCs/>
          <w:sz w:val="24"/>
          <w:u w:val="single"/>
        </w:rPr>
        <w:t>7</w:t>
      </w:r>
      <w:r w:rsidR="00EA1144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24AC1">
        <w:rPr>
          <w:b/>
          <w:bCs/>
          <w:sz w:val="24"/>
          <w:u w:val="single"/>
        </w:rPr>
        <w:t>04 DECE</w:t>
      </w:r>
      <w:r w:rsidR="00A268B1">
        <w:rPr>
          <w:b/>
          <w:bCs/>
          <w:sz w:val="24"/>
          <w:u w:val="single"/>
        </w:rPr>
        <w:t>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24AC1">
        <w:rPr>
          <w:b/>
          <w:bCs/>
          <w:sz w:val="24"/>
          <w:u w:val="single"/>
        </w:rPr>
        <w:t>32</w:t>
      </w:r>
      <w:r w:rsidRPr="00294557">
        <w:rPr>
          <w:b/>
          <w:bCs/>
          <w:sz w:val="24"/>
          <w:u w:val="single"/>
        </w:rPr>
        <w:t>)</w:t>
      </w:r>
    </w:p>
    <w:p w:rsidR="00EA1144" w:rsidRPr="00EA1144" w:rsidRDefault="00EA1144" w:rsidP="00EA1144">
      <w:pPr>
        <w:spacing w:before="100" w:beforeAutospacing="1" w:after="100" w:afterAutospacing="1"/>
        <w:jc w:val="both"/>
        <w:rPr>
          <w:sz w:val="24"/>
          <w:u w:val="single"/>
        </w:rPr>
      </w:pPr>
      <w:r w:rsidRPr="00EA1144">
        <w:rPr>
          <w:b/>
          <w:sz w:val="24"/>
          <w:u w:val="single"/>
        </w:rPr>
        <w:t>Ms H Ismael (DA) to ask the Minister of Health</w:t>
      </w:r>
      <w:r w:rsidRPr="00EA1144">
        <w:rPr>
          <w:b/>
          <w:sz w:val="24"/>
          <w:u w:val="single"/>
        </w:rPr>
        <w:fldChar w:fldCharType="begin"/>
      </w:r>
      <w:r w:rsidRPr="00EA1144">
        <w:rPr>
          <w:u w:val="single"/>
        </w:rPr>
        <w:instrText xml:space="preserve"> XE "</w:instrText>
      </w:r>
      <w:r w:rsidRPr="00EA1144">
        <w:rPr>
          <w:b/>
          <w:sz w:val="24"/>
          <w:u w:val="single"/>
        </w:rPr>
        <w:instrText>Health</w:instrText>
      </w:r>
      <w:r w:rsidRPr="00EA1144">
        <w:rPr>
          <w:u w:val="single"/>
        </w:rPr>
        <w:instrText xml:space="preserve">" </w:instrText>
      </w:r>
      <w:r w:rsidRPr="00EA1144">
        <w:rPr>
          <w:b/>
          <w:sz w:val="24"/>
          <w:u w:val="single"/>
        </w:rPr>
        <w:fldChar w:fldCharType="end"/>
      </w:r>
      <w:r w:rsidRPr="00EA1144">
        <w:rPr>
          <w:b/>
          <w:sz w:val="24"/>
          <w:u w:val="single"/>
        </w:rPr>
        <w:t>:</w:t>
      </w:r>
    </w:p>
    <w:p w:rsidR="00EA1144" w:rsidRPr="00EA1144" w:rsidRDefault="00EA1144" w:rsidP="00EA1144">
      <w:pPr>
        <w:spacing w:before="100" w:beforeAutospacing="1" w:after="100" w:afterAutospacing="1"/>
        <w:ind w:left="709" w:hanging="720"/>
        <w:jc w:val="both"/>
        <w:rPr>
          <w:rFonts w:eastAsia="Calibri"/>
          <w:sz w:val="24"/>
        </w:rPr>
      </w:pPr>
      <w:r w:rsidRPr="00EA1144">
        <w:rPr>
          <w:rFonts w:eastAsia="Calibri"/>
          <w:sz w:val="24"/>
        </w:rPr>
        <w:t>(1)</w:t>
      </w:r>
      <w:r w:rsidRPr="00EA1144">
        <w:rPr>
          <w:rFonts w:eastAsia="Calibri"/>
          <w:sz w:val="24"/>
        </w:rPr>
        <w:tab/>
        <w:t>Whether, with reference to his reply to question 137 on 14 October 2019, he will furnish Ms H Ismael with a detailed report of all National Health</w:t>
      </w:r>
      <w:r w:rsidRPr="00EA1144">
        <w:rPr>
          <w:rFonts w:eastAsia="Calibri"/>
          <w:sz w:val="24"/>
        </w:rPr>
        <w:fldChar w:fldCharType="begin"/>
      </w:r>
      <w:r w:rsidRPr="00EA1144">
        <w:instrText xml:space="preserve"> XE "</w:instrText>
      </w:r>
      <w:r w:rsidRPr="00EA1144">
        <w:rPr>
          <w:b/>
          <w:sz w:val="24"/>
        </w:rPr>
        <w:instrText>Health</w:instrText>
      </w:r>
      <w:r w:rsidRPr="00EA1144">
        <w:instrText xml:space="preserve">" </w:instrText>
      </w:r>
      <w:r w:rsidRPr="00EA1144">
        <w:rPr>
          <w:rFonts w:eastAsia="Calibri"/>
          <w:sz w:val="24"/>
        </w:rPr>
        <w:fldChar w:fldCharType="end"/>
      </w:r>
      <w:r w:rsidRPr="00EA1144">
        <w:rPr>
          <w:rFonts w:eastAsia="Calibri"/>
          <w:sz w:val="24"/>
        </w:rPr>
        <w:t xml:space="preserve"> Insurance pilot projects, including the name of facilities;</w:t>
      </w:r>
    </w:p>
    <w:p w:rsidR="00DF38AC" w:rsidRPr="00324AC1" w:rsidRDefault="00EA1144" w:rsidP="00EA1144">
      <w:pPr>
        <w:spacing w:before="100" w:beforeAutospacing="1" w:after="100" w:afterAutospacing="1"/>
        <w:ind w:left="709" w:hanging="709"/>
        <w:jc w:val="both"/>
        <w:rPr>
          <w:rFonts w:ascii="Times New Roman" w:hAnsi="Times New Roman" w:cs="Times New Roman"/>
          <w:sz w:val="24"/>
        </w:rPr>
      </w:pPr>
      <w:r w:rsidRPr="00EA1144">
        <w:rPr>
          <w:rFonts w:eastAsia="Calibri"/>
          <w:sz w:val="24"/>
        </w:rPr>
        <w:t>(2)</w:t>
      </w:r>
      <w:r w:rsidRPr="00EA1144">
        <w:rPr>
          <w:rFonts w:eastAsia="Calibri"/>
          <w:sz w:val="24"/>
        </w:rPr>
        <w:tab/>
        <w:t>whether any of the pilot projects have failed; if so, what (a) are the names of the pilot projects that have failed and (b) has he found to be the reasons that the projects failed</w:t>
      </w:r>
      <w:r w:rsidRPr="00EA1144">
        <w:rPr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EA1144">
        <w:rPr>
          <w:rFonts w:eastAsia="Calibri"/>
          <w:b/>
          <w:noProof/>
          <w:sz w:val="12"/>
          <w:szCs w:val="12"/>
          <w:lang w:val="af-ZA"/>
        </w:rPr>
        <w:t>3072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0C6886" w:rsidRDefault="000C6886" w:rsidP="000C6886">
      <w:pPr>
        <w:ind w:left="720" w:hanging="720"/>
        <w:jc w:val="both"/>
        <w:rPr>
          <w:sz w:val="24"/>
        </w:rPr>
      </w:pPr>
      <w:r>
        <w:rPr>
          <w:sz w:val="24"/>
        </w:rPr>
        <w:t xml:space="preserve">(1) </w:t>
      </w:r>
      <w:r>
        <w:rPr>
          <w:sz w:val="24"/>
        </w:rPr>
        <w:tab/>
      </w:r>
      <w:r>
        <w:rPr>
          <w:sz w:val="24"/>
        </w:rPr>
        <w:t>A copy of the independent r</w:t>
      </w:r>
      <w:bookmarkStart w:id="0" w:name="_GoBack"/>
      <w:bookmarkEnd w:id="0"/>
      <w:r>
        <w:rPr>
          <w:sz w:val="24"/>
        </w:rPr>
        <w:t>eport “</w:t>
      </w:r>
      <w:r w:rsidRPr="000C6886">
        <w:rPr>
          <w:bCs/>
          <w:i/>
          <w:sz w:val="24"/>
        </w:rPr>
        <w:t>Evaluation of the Phase 1 Implementation of the Interventions in the National Health Insurance Pilot Districts in South Africa. NDOH10/2017-2018. Final Evaluation Report</w:t>
      </w:r>
      <w:r>
        <w:rPr>
          <w:bCs/>
          <w:i/>
          <w:sz w:val="24"/>
        </w:rPr>
        <w:t xml:space="preserve">. </w:t>
      </w:r>
      <w:r w:rsidRPr="00BA5E12">
        <w:rPr>
          <w:i/>
          <w:sz w:val="24"/>
        </w:rPr>
        <w:t>August 2019</w:t>
      </w:r>
      <w:r>
        <w:rPr>
          <w:i/>
          <w:sz w:val="24"/>
        </w:rPr>
        <w:t>”</w:t>
      </w:r>
      <w:r w:rsidRPr="00BA5E12">
        <w:rPr>
          <w:sz w:val="24"/>
        </w:rPr>
        <w:t xml:space="preserve"> </w:t>
      </w:r>
      <w:r>
        <w:rPr>
          <w:sz w:val="24"/>
        </w:rPr>
        <w:t xml:space="preserve">is attached to this response as </w:t>
      </w:r>
      <w:r w:rsidRPr="000C6886">
        <w:rPr>
          <w:b/>
          <w:sz w:val="24"/>
        </w:rPr>
        <w:t>Annexure 1</w:t>
      </w:r>
      <w:r>
        <w:rPr>
          <w:b/>
          <w:sz w:val="24"/>
        </w:rPr>
        <w:t>.</w:t>
      </w:r>
    </w:p>
    <w:p w:rsidR="000C6886" w:rsidRDefault="000C6886" w:rsidP="000C6886">
      <w:pPr>
        <w:jc w:val="both"/>
        <w:rPr>
          <w:sz w:val="24"/>
        </w:rPr>
      </w:pPr>
    </w:p>
    <w:p w:rsidR="000C6886" w:rsidRDefault="000C6886" w:rsidP="000C6886">
      <w:pPr>
        <w:jc w:val="both"/>
        <w:rPr>
          <w:sz w:val="24"/>
        </w:rPr>
      </w:pPr>
      <w:r>
        <w:rPr>
          <w:sz w:val="24"/>
        </w:rPr>
        <w:t xml:space="preserve">(2) </w:t>
      </w:r>
      <w:r>
        <w:rPr>
          <w:sz w:val="24"/>
        </w:rPr>
        <w:tab/>
      </w:r>
      <w:r>
        <w:rPr>
          <w:sz w:val="24"/>
        </w:rPr>
        <w:t xml:space="preserve">(a) </w:t>
      </w:r>
      <w:r>
        <w:rPr>
          <w:sz w:val="24"/>
        </w:rPr>
        <w:tab/>
      </w:r>
      <w:r>
        <w:rPr>
          <w:sz w:val="24"/>
        </w:rPr>
        <w:t>No specific facilities that have failed were identified in the report</w:t>
      </w:r>
      <w:r>
        <w:rPr>
          <w:sz w:val="24"/>
        </w:rPr>
        <w:t>.</w:t>
      </w:r>
    </w:p>
    <w:p w:rsidR="000C6886" w:rsidRDefault="000C6886" w:rsidP="000C6886">
      <w:pPr>
        <w:jc w:val="both"/>
        <w:rPr>
          <w:sz w:val="24"/>
        </w:rPr>
      </w:pPr>
    </w:p>
    <w:p w:rsidR="000C6886" w:rsidRPr="00840376" w:rsidRDefault="000C6886" w:rsidP="000C6886">
      <w:pPr>
        <w:ind w:left="1418" w:firstLine="22"/>
        <w:jc w:val="both"/>
        <w:rPr>
          <w:sz w:val="24"/>
          <w:lang w:val="en-US"/>
        </w:rPr>
      </w:pPr>
      <w:r w:rsidRPr="00840376">
        <w:rPr>
          <w:sz w:val="24"/>
        </w:rPr>
        <w:t xml:space="preserve">Overall, the implementation of the pilot interventions had mixed success across the pilot districts. None of the interventions can be considered “failures”, as all were implemented at scale. </w:t>
      </w:r>
    </w:p>
    <w:p w:rsidR="000C6886" w:rsidRDefault="000C6886" w:rsidP="000C6886">
      <w:pPr>
        <w:jc w:val="both"/>
        <w:rPr>
          <w:sz w:val="24"/>
        </w:rPr>
      </w:pPr>
    </w:p>
    <w:p w:rsidR="000C6886" w:rsidRDefault="000C6886" w:rsidP="000C6886">
      <w:pPr>
        <w:ind w:left="698" w:firstLine="720"/>
        <w:jc w:val="both"/>
        <w:rPr>
          <w:sz w:val="24"/>
        </w:rPr>
      </w:pPr>
      <w:r w:rsidRPr="00840376">
        <w:rPr>
          <w:sz w:val="24"/>
        </w:rPr>
        <w:t>Where successful, a few common factors</w:t>
      </w:r>
      <w:r>
        <w:rPr>
          <w:sz w:val="24"/>
        </w:rPr>
        <w:t xml:space="preserve"> were identified</w:t>
      </w:r>
      <w:r w:rsidRPr="00840376">
        <w:rPr>
          <w:sz w:val="24"/>
        </w:rPr>
        <w:t>:</w:t>
      </w:r>
    </w:p>
    <w:p w:rsidR="000C6886" w:rsidRDefault="000C6886" w:rsidP="000C6886">
      <w:pPr>
        <w:ind w:left="698" w:firstLine="720"/>
        <w:jc w:val="both"/>
        <w:rPr>
          <w:sz w:val="24"/>
        </w:rPr>
      </w:pPr>
    </w:p>
    <w:p w:rsidR="000C6886" w:rsidRPr="000C6886" w:rsidRDefault="000C6886" w:rsidP="000C6886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0C6886">
        <w:rPr>
          <w:bCs/>
          <w:sz w:val="24"/>
        </w:rPr>
        <w:t>Strong political will;</w:t>
      </w:r>
    </w:p>
    <w:p w:rsidR="000C6886" w:rsidRPr="000C6886" w:rsidRDefault="000C6886" w:rsidP="000C6886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0C6886">
        <w:rPr>
          <w:bCs/>
          <w:sz w:val="24"/>
        </w:rPr>
        <w:t xml:space="preserve">Adequate human and financial resources for implementation; </w:t>
      </w:r>
    </w:p>
    <w:p w:rsidR="000C6886" w:rsidRPr="000C6886" w:rsidRDefault="000C6886" w:rsidP="000C6886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0C6886">
        <w:rPr>
          <w:bCs/>
          <w:sz w:val="24"/>
        </w:rPr>
        <w:t xml:space="preserve">Good coordination and communication; and </w:t>
      </w:r>
    </w:p>
    <w:p w:rsidR="000C6886" w:rsidRPr="000C6886" w:rsidRDefault="000C6886" w:rsidP="000C6886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0C6886">
        <w:rPr>
          <w:bCs/>
          <w:sz w:val="24"/>
        </w:rPr>
        <w:t xml:space="preserve">Good monitoring systems put in place at the time of implementation. </w:t>
      </w:r>
    </w:p>
    <w:p w:rsidR="000C6886" w:rsidRPr="00BA5E12" w:rsidRDefault="000C6886" w:rsidP="000C6886">
      <w:pPr>
        <w:pStyle w:val="ListParagraph"/>
        <w:contextualSpacing w:val="0"/>
        <w:jc w:val="both"/>
        <w:rPr>
          <w:sz w:val="24"/>
          <w:lang w:val="en-US"/>
        </w:rPr>
      </w:pPr>
    </w:p>
    <w:p w:rsidR="000C6886" w:rsidRDefault="000C6886" w:rsidP="000C6886">
      <w:pPr>
        <w:ind w:left="1418" w:hanging="698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</w:r>
      <w:r>
        <w:rPr>
          <w:sz w:val="24"/>
        </w:rPr>
        <w:t>T</w:t>
      </w:r>
      <w:r w:rsidRPr="00840376">
        <w:rPr>
          <w:sz w:val="24"/>
        </w:rPr>
        <w:t>he interventions also faced a number of challenges, and, to varying degrees, these factors hindered their success:</w:t>
      </w:r>
    </w:p>
    <w:p w:rsidR="000C6886" w:rsidRDefault="000C6886" w:rsidP="000C6886">
      <w:pPr>
        <w:ind w:left="1418" w:hanging="698"/>
        <w:jc w:val="both"/>
        <w:rPr>
          <w:sz w:val="24"/>
        </w:rPr>
      </w:pPr>
    </w:p>
    <w:p w:rsidR="000C6886" w:rsidRPr="000C6886" w:rsidRDefault="000C6886" w:rsidP="000C6886">
      <w:pPr>
        <w:pStyle w:val="ListParagraph"/>
        <w:numPr>
          <w:ilvl w:val="0"/>
          <w:numId w:val="20"/>
        </w:numPr>
        <w:jc w:val="both"/>
        <w:rPr>
          <w:sz w:val="24"/>
        </w:rPr>
      </w:pPr>
      <w:r w:rsidRPr="000C6886">
        <w:rPr>
          <w:bCs/>
          <w:sz w:val="24"/>
        </w:rPr>
        <w:t>Inadequate planning;</w:t>
      </w:r>
    </w:p>
    <w:p w:rsidR="000C6886" w:rsidRPr="000C6886" w:rsidRDefault="000C6886" w:rsidP="000C6886">
      <w:pPr>
        <w:pStyle w:val="ListParagraph"/>
        <w:numPr>
          <w:ilvl w:val="0"/>
          <w:numId w:val="20"/>
        </w:numPr>
        <w:jc w:val="both"/>
        <w:rPr>
          <w:sz w:val="24"/>
        </w:rPr>
      </w:pPr>
      <w:r w:rsidRPr="000C6886">
        <w:rPr>
          <w:bCs/>
          <w:sz w:val="24"/>
        </w:rPr>
        <w:t xml:space="preserve">Lack of resources; </w:t>
      </w:r>
    </w:p>
    <w:p w:rsidR="000C6886" w:rsidRPr="000C6886" w:rsidRDefault="000C6886" w:rsidP="000C6886">
      <w:pPr>
        <w:pStyle w:val="ListParagraph"/>
        <w:numPr>
          <w:ilvl w:val="0"/>
          <w:numId w:val="20"/>
        </w:numPr>
        <w:jc w:val="both"/>
        <w:rPr>
          <w:sz w:val="24"/>
        </w:rPr>
      </w:pPr>
      <w:r w:rsidRPr="000C6886">
        <w:rPr>
          <w:bCs/>
          <w:sz w:val="24"/>
        </w:rPr>
        <w:t xml:space="preserve">Inconsistent communication; </w:t>
      </w:r>
    </w:p>
    <w:p w:rsidR="000C6886" w:rsidRPr="000C6886" w:rsidRDefault="000C6886" w:rsidP="000C6886">
      <w:pPr>
        <w:pStyle w:val="ListParagraph"/>
        <w:numPr>
          <w:ilvl w:val="0"/>
          <w:numId w:val="20"/>
        </w:numPr>
        <w:jc w:val="both"/>
        <w:rPr>
          <w:sz w:val="24"/>
        </w:rPr>
      </w:pPr>
      <w:r w:rsidRPr="000C6886">
        <w:rPr>
          <w:bCs/>
          <w:sz w:val="24"/>
        </w:rPr>
        <w:t>A lack of coordination where necessary; and</w:t>
      </w:r>
    </w:p>
    <w:p w:rsidR="000C6886" w:rsidRPr="000C6886" w:rsidRDefault="000C6886" w:rsidP="000C6886">
      <w:pPr>
        <w:pStyle w:val="ListParagraph"/>
        <w:numPr>
          <w:ilvl w:val="0"/>
          <w:numId w:val="20"/>
        </w:numPr>
        <w:jc w:val="both"/>
        <w:rPr>
          <w:sz w:val="24"/>
        </w:rPr>
      </w:pPr>
      <w:r w:rsidRPr="000C6886">
        <w:rPr>
          <w:bCs/>
          <w:sz w:val="24"/>
        </w:rPr>
        <w:t xml:space="preserve">Insufficient mechanisms to monitor progress to ensure course correction. </w:t>
      </w:r>
    </w:p>
    <w:p w:rsidR="000C6886" w:rsidRPr="00BA5E12" w:rsidRDefault="000C6886" w:rsidP="000C6886">
      <w:pPr>
        <w:pStyle w:val="ListParagraph"/>
        <w:contextualSpacing w:val="0"/>
        <w:jc w:val="both"/>
        <w:rPr>
          <w:sz w:val="24"/>
          <w:lang w:val="en-US"/>
        </w:rPr>
      </w:pPr>
    </w:p>
    <w:p w:rsidR="000C6886" w:rsidRDefault="000C6886" w:rsidP="000C6886">
      <w:pPr>
        <w:ind w:left="1425" w:firstLine="15"/>
        <w:jc w:val="both"/>
        <w:rPr>
          <w:bCs/>
          <w:sz w:val="24"/>
          <w:lang w:val="en-US"/>
        </w:rPr>
      </w:pPr>
    </w:p>
    <w:p w:rsidR="000C6886" w:rsidRDefault="000C6886" w:rsidP="000C6886">
      <w:pPr>
        <w:ind w:left="1425" w:firstLine="15"/>
        <w:jc w:val="both"/>
        <w:rPr>
          <w:bCs/>
          <w:sz w:val="24"/>
          <w:lang w:val="en-US"/>
        </w:rPr>
      </w:pPr>
    </w:p>
    <w:p w:rsidR="000C6886" w:rsidRDefault="000C6886" w:rsidP="000C6886">
      <w:pPr>
        <w:ind w:left="1425" w:firstLine="15"/>
        <w:jc w:val="both"/>
        <w:rPr>
          <w:bCs/>
          <w:sz w:val="24"/>
          <w:lang w:val="en-US"/>
        </w:rPr>
      </w:pPr>
    </w:p>
    <w:p w:rsidR="000C6886" w:rsidRDefault="000C6886" w:rsidP="000C6886">
      <w:pPr>
        <w:ind w:left="1425" w:firstLine="15"/>
        <w:jc w:val="both"/>
        <w:rPr>
          <w:bCs/>
          <w:sz w:val="24"/>
          <w:lang w:val="en-US"/>
        </w:rPr>
      </w:pPr>
    </w:p>
    <w:p w:rsidR="000C6886" w:rsidRDefault="000C6886" w:rsidP="000C6886">
      <w:pPr>
        <w:ind w:left="1425" w:firstLine="15"/>
        <w:jc w:val="both"/>
        <w:rPr>
          <w:bCs/>
          <w:sz w:val="24"/>
          <w:lang w:val="en-US"/>
        </w:rPr>
      </w:pPr>
    </w:p>
    <w:p w:rsidR="000C6886" w:rsidRDefault="000C6886" w:rsidP="000C6886">
      <w:pPr>
        <w:ind w:left="1425" w:firstLine="15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lastRenderedPageBreak/>
        <w:t xml:space="preserve">Reports regarding specific projects are  contained in the Report and are summarized as follows: </w:t>
      </w:r>
    </w:p>
    <w:p w:rsidR="000C6886" w:rsidRPr="00BA5E12" w:rsidRDefault="000C6886" w:rsidP="000C6886">
      <w:pPr>
        <w:jc w:val="both"/>
        <w:rPr>
          <w:bCs/>
          <w:sz w:val="24"/>
          <w:lang w:val="en-US"/>
        </w:rPr>
      </w:pPr>
    </w:p>
    <w:p w:rsidR="000C6886" w:rsidRDefault="000C6886" w:rsidP="000C6886">
      <w:pPr>
        <w:pStyle w:val="ListParagraph"/>
        <w:numPr>
          <w:ilvl w:val="0"/>
          <w:numId w:val="8"/>
        </w:numPr>
        <w:ind w:left="2127" w:hanging="709"/>
        <w:contextualSpacing w:val="0"/>
        <w:jc w:val="both"/>
        <w:rPr>
          <w:b/>
          <w:sz w:val="24"/>
          <w:lang w:val="en-US"/>
        </w:rPr>
      </w:pPr>
      <w:r w:rsidRPr="00BA5E12">
        <w:rPr>
          <w:b/>
          <w:bCs/>
          <w:sz w:val="24"/>
          <w:lang w:val="en-US"/>
        </w:rPr>
        <w:t>Ward-based Primary Healthcare Community Outreach Teams (WBPHCOTS</w:t>
      </w:r>
      <w:r w:rsidRPr="00BA5E12">
        <w:rPr>
          <w:b/>
          <w:sz w:val="24"/>
          <w:lang w:val="en-US"/>
        </w:rPr>
        <w:t>)</w:t>
      </w:r>
    </w:p>
    <w:p w:rsidR="000C6886" w:rsidRPr="000C6886" w:rsidRDefault="000C6886" w:rsidP="000C6886">
      <w:pPr>
        <w:jc w:val="both"/>
        <w:rPr>
          <w:b/>
          <w:sz w:val="24"/>
          <w:lang w:val="en-US"/>
        </w:rPr>
      </w:pPr>
    </w:p>
    <w:p w:rsidR="000C6886" w:rsidRDefault="000C6886" w:rsidP="000C6886">
      <w:pPr>
        <w:pStyle w:val="ListParagraph"/>
        <w:numPr>
          <w:ilvl w:val="0"/>
          <w:numId w:val="9"/>
        </w:numPr>
        <w:spacing w:after="240"/>
        <w:ind w:left="2693" w:hanging="357"/>
        <w:contextualSpacing w:val="0"/>
        <w:jc w:val="both"/>
        <w:rPr>
          <w:sz w:val="24"/>
        </w:rPr>
      </w:pPr>
      <w:r w:rsidRPr="000C6886">
        <w:rPr>
          <w:sz w:val="24"/>
        </w:rPr>
        <w:t>A total of 3 323 WBPHCOTs providing basic health services to children and adults were in place at the end of 2017/18.</w:t>
      </w:r>
    </w:p>
    <w:p w:rsidR="000C6886" w:rsidRDefault="000C6886" w:rsidP="000C6886">
      <w:pPr>
        <w:pStyle w:val="ListParagraph"/>
        <w:numPr>
          <w:ilvl w:val="0"/>
          <w:numId w:val="9"/>
        </w:numPr>
        <w:spacing w:after="240"/>
        <w:ind w:left="2693" w:hanging="357"/>
        <w:contextualSpacing w:val="0"/>
        <w:jc w:val="both"/>
        <w:rPr>
          <w:sz w:val="24"/>
        </w:rPr>
      </w:pPr>
      <w:r w:rsidRPr="000C6886">
        <w:rPr>
          <w:sz w:val="24"/>
        </w:rPr>
        <w:t>These teams were able to successfully fulfil their mandate to provide outreach health services within the community.</w:t>
      </w:r>
    </w:p>
    <w:p w:rsidR="000C6886" w:rsidRPr="000C6886" w:rsidRDefault="000C6886" w:rsidP="000C6886">
      <w:pPr>
        <w:pStyle w:val="ListParagraph"/>
        <w:numPr>
          <w:ilvl w:val="0"/>
          <w:numId w:val="9"/>
        </w:numPr>
        <w:spacing w:after="240"/>
        <w:ind w:left="2693" w:hanging="357"/>
        <w:contextualSpacing w:val="0"/>
        <w:jc w:val="both"/>
        <w:rPr>
          <w:sz w:val="24"/>
        </w:rPr>
      </w:pPr>
      <w:r w:rsidRPr="000C6886">
        <w:rPr>
          <w:sz w:val="24"/>
        </w:rPr>
        <w:t xml:space="preserve">WBPHCOTs completed community visits and were also able to report on the health status of the individuals at the households visited. </w:t>
      </w:r>
    </w:p>
    <w:p w:rsidR="000C6886" w:rsidRPr="005F2A45" w:rsidRDefault="000C6886" w:rsidP="000C6886">
      <w:pPr>
        <w:pStyle w:val="ListParagraph"/>
        <w:numPr>
          <w:ilvl w:val="0"/>
          <w:numId w:val="9"/>
        </w:numPr>
        <w:spacing w:after="240"/>
        <w:ind w:left="2693" w:hanging="357"/>
        <w:contextualSpacing w:val="0"/>
        <w:jc w:val="both"/>
        <w:rPr>
          <w:sz w:val="24"/>
        </w:rPr>
      </w:pPr>
      <w:r w:rsidRPr="005F2A45">
        <w:rPr>
          <w:sz w:val="24"/>
          <w:lang w:val="en-US"/>
        </w:rPr>
        <w:t xml:space="preserve">Teams often lacked the envisioned team composition, with many teams lacking outreach team leaders.  </w:t>
      </w:r>
    </w:p>
    <w:p w:rsidR="000C6886" w:rsidRPr="00B646A1" w:rsidRDefault="000C6886" w:rsidP="000C6886">
      <w:pPr>
        <w:pStyle w:val="ListParagraph"/>
        <w:numPr>
          <w:ilvl w:val="0"/>
          <w:numId w:val="9"/>
        </w:numPr>
        <w:spacing w:after="240"/>
        <w:ind w:left="2693" w:hanging="357"/>
        <w:contextualSpacing w:val="0"/>
        <w:jc w:val="both"/>
        <w:rPr>
          <w:sz w:val="24"/>
        </w:rPr>
      </w:pPr>
      <w:r w:rsidRPr="005F2A45">
        <w:rPr>
          <w:sz w:val="24"/>
          <w:lang w:val="en-US"/>
        </w:rPr>
        <w:t xml:space="preserve">Data collection was insufficient to adequately monitor the effectiveness of the referral systems and follow up processes.  </w:t>
      </w:r>
    </w:p>
    <w:p w:rsidR="000C6886" w:rsidRPr="005F2A45" w:rsidRDefault="000C6886" w:rsidP="000C6886">
      <w:pPr>
        <w:pStyle w:val="ListParagraph"/>
        <w:numPr>
          <w:ilvl w:val="0"/>
          <w:numId w:val="9"/>
        </w:numPr>
        <w:spacing w:after="240"/>
        <w:ind w:left="2693" w:hanging="357"/>
        <w:contextualSpacing w:val="0"/>
        <w:jc w:val="both"/>
        <w:rPr>
          <w:sz w:val="24"/>
        </w:rPr>
      </w:pPr>
      <w:r w:rsidRPr="005F2A45">
        <w:rPr>
          <w:sz w:val="24"/>
          <w:lang w:val="en-US"/>
        </w:rPr>
        <w:t>At times there were insufficient funds for transport and equipment; this impacted the team’s ability to successfully undertake their work.</w:t>
      </w:r>
    </w:p>
    <w:p w:rsidR="000C6886" w:rsidRPr="001B07B2" w:rsidRDefault="000C6886" w:rsidP="000C6886">
      <w:pPr>
        <w:jc w:val="both"/>
        <w:rPr>
          <w:sz w:val="24"/>
          <w:lang w:val="en-US"/>
        </w:rPr>
      </w:pPr>
    </w:p>
    <w:p w:rsidR="000C6886" w:rsidRDefault="000C6886" w:rsidP="000C6886">
      <w:pPr>
        <w:pStyle w:val="ListParagraph"/>
        <w:numPr>
          <w:ilvl w:val="0"/>
          <w:numId w:val="8"/>
        </w:numPr>
        <w:ind w:firstLine="1058"/>
        <w:contextualSpacing w:val="0"/>
        <w:jc w:val="both"/>
        <w:rPr>
          <w:b/>
          <w:sz w:val="24"/>
          <w:lang w:val="en-US"/>
        </w:rPr>
      </w:pPr>
      <w:r w:rsidRPr="00525ACF">
        <w:rPr>
          <w:b/>
          <w:bCs/>
          <w:sz w:val="24"/>
          <w:lang w:val="en-US"/>
        </w:rPr>
        <w:t>Integrated School Health Program (ISHP)</w:t>
      </w:r>
      <w:r w:rsidRPr="00525ACF">
        <w:rPr>
          <w:b/>
          <w:sz w:val="24"/>
          <w:lang w:val="en-US"/>
        </w:rPr>
        <w:t xml:space="preserve"> </w:t>
      </w:r>
    </w:p>
    <w:p w:rsidR="000C6886" w:rsidRPr="000C6886" w:rsidRDefault="000C6886" w:rsidP="000C6886">
      <w:pPr>
        <w:ind w:left="360"/>
        <w:jc w:val="both"/>
        <w:rPr>
          <w:b/>
          <w:sz w:val="24"/>
          <w:lang w:val="en-US"/>
        </w:rPr>
      </w:pPr>
    </w:p>
    <w:p w:rsidR="000C6886" w:rsidRPr="000C6886" w:rsidRDefault="000C6886" w:rsidP="000C6886">
      <w:pPr>
        <w:pStyle w:val="ListParagraph"/>
        <w:numPr>
          <w:ilvl w:val="0"/>
          <w:numId w:val="10"/>
        </w:numPr>
        <w:spacing w:after="240"/>
        <w:ind w:left="2694" w:hanging="357"/>
        <w:contextualSpacing w:val="0"/>
        <w:jc w:val="both"/>
        <w:rPr>
          <w:sz w:val="24"/>
        </w:rPr>
      </w:pPr>
      <w:r w:rsidRPr="000C6886">
        <w:rPr>
          <w:sz w:val="24"/>
        </w:rPr>
        <w:t>A total of 4 339 875 learners had been screened through ISHP since 2012; of these 504 803 were identified to have various health barriers and referred for treatment.</w:t>
      </w:r>
    </w:p>
    <w:p w:rsidR="000C6886" w:rsidRDefault="000C6886" w:rsidP="000C6886">
      <w:pPr>
        <w:pStyle w:val="ListParagraph"/>
        <w:numPr>
          <w:ilvl w:val="0"/>
          <w:numId w:val="10"/>
        </w:numPr>
        <w:spacing w:after="240"/>
        <w:ind w:left="2694" w:hanging="357"/>
        <w:contextualSpacing w:val="0"/>
        <w:jc w:val="both"/>
        <w:rPr>
          <w:sz w:val="24"/>
        </w:rPr>
      </w:pPr>
      <w:r w:rsidRPr="00CB277F">
        <w:rPr>
          <w:sz w:val="24"/>
        </w:rPr>
        <w:t>Th</w:t>
      </w:r>
      <w:r>
        <w:rPr>
          <w:sz w:val="24"/>
        </w:rPr>
        <w:t xml:space="preserve">e ISHP </w:t>
      </w:r>
      <w:r w:rsidRPr="00CB277F">
        <w:rPr>
          <w:sz w:val="24"/>
        </w:rPr>
        <w:t>intervention</w:t>
      </w:r>
      <w:r>
        <w:rPr>
          <w:sz w:val="24"/>
        </w:rPr>
        <w:t xml:space="preserve"> was </w:t>
      </w:r>
      <w:r w:rsidRPr="00CB277F">
        <w:rPr>
          <w:sz w:val="24"/>
        </w:rPr>
        <w:t xml:space="preserve">particularly successful in its ability to demonstrate good inter-departmental collaboration between the </w:t>
      </w:r>
      <w:proofErr w:type="spellStart"/>
      <w:r w:rsidRPr="00CB277F">
        <w:rPr>
          <w:sz w:val="24"/>
        </w:rPr>
        <w:t>NDoH</w:t>
      </w:r>
      <w:proofErr w:type="spellEnd"/>
      <w:r w:rsidRPr="00CB277F">
        <w:rPr>
          <w:sz w:val="24"/>
        </w:rPr>
        <w:t xml:space="preserve"> and Department of Basic Education (DBE). </w:t>
      </w:r>
    </w:p>
    <w:p w:rsidR="000C6886" w:rsidRPr="00BF1AE6" w:rsidRDefault="000C6886" w:rsidP="000C6886">
      <w:pPr>
        <w:pStyle w:val="ListParagraph"/>
        <w:numPr>
          <w:ilvl w:val="0"/>
          <w:numId w:val="10"/>
        </w:numPr>
        <w:spacing w:after="240"/>
        <w:ind w:left="2694" w:hanging="357"/>
        <w:contextualSpacing w:val="0"/>
        <w:jc w:val="both"/>
        <w:rPr>
          <w:sz w:val="24"/>
        </w:rPr>
      </w:pPr>
      <w:r w:rsidRPr="00CB277F">
        <w:rPr>
          <w:sz w:val="24"/>
          <w:lang w:val="en-US"/>
        </w:rPr>
        <w:t xml:space="preserve">There </w:t>
      </w:r>
      <w:r>
        <w:rPr>
          <w:sz w:val="24"/>
          <w:lang w:val="en-US"/>
        </w:rPr>
        <w:t xml:space="preserve">was </w:t>
      </w:r>
      <w:r w:rsidRPr="00CB277F">
        <w:rPr>
          <w:sz w:val="24"/>
          <w:lang w:val="en-US"/>
        </w:rPr>
        <w:t xml:space="preserve">a lack of data to support the effectiveness of the referrals and a lack of feedback mechanisms between school teams and facilities. </w:t>
      </w:r>
    </w:p>
    <w:p w:rsidR="000C6886" w:rsidRPr="00BF1AE6" w:rsidRDefault="000C6886" w:rsidP="000C6886">
      <w:pPr>
        <w:pStyle w:val="ListParagraph"/>
        <w:numPr>
          <w:ilvl w:val="0"/>
          <w:numId w:val="10"/>
        </w:numPr>
        <w:spacing w:after="240"/>
        <w:ind w:left="2694" w:hanging="357"/>
        <w:contextualSpacing w:val="0"/>
        <w:jc w:val="both"/>
        <w:rPr>
          <w:sz w:val="24"/>
        </w:rPr>
      </w:pPr>
      <w:r w:rsidRPr="00BF1AE6">
        <w:rPr>
          <w:sz w:val="24"/>
          <w:lang w:val="en-US"/>
        </w:rPr>
        <w:t xml:space="preserve">The lack of sufficient equipment, such as measurement scales and transport to travel to schools, often impacted </w:t>
      </w:r>
      <w:r>
        <w:rPr>
          <w:sz w:val="24"/>
          <w:lang w:val="en-US"/>
        </w:rPr>
        <w:t xml:space="preserve">negatively on the </w:t>
      </w:r>
      <w:r w:rsidRPr="00BF1AE6">
        <w:rPr>
          <w:sz w:val="24"/>
          <w:lang w:val="en-US"/>
        </w:rPr>
        <w:t>success</w:t>
      </w:r>
      <w:r>
        <w:rPr>
          <w:sz w:val="24"/>
          <w:lang w:val="en-US"/>
        </w:rPr>
        <w:t xml:space="preserve"> of this intervention</w:t>
      </w:r>
      <w:r w:rsidRPr="00BF1AE6">
        <w:rPr>
          <w:sz w:val="24"/>
          <w:lang w:val="en-US"/>
        </w:rPr>
        <w:t xml:space="preserve">. </w:t>
      </w:r>
    </w:p>
    <w:p w:rsidR="000C6886" w:rsidRPr="009B6B0C" w:rsidRDefault="000C6886" w:rsidP="000C6886">
      <w:pPr>
        <w:pStyle w:val="ListParagraph"/>
        <w:numPr>
          <w:ilvl w:val="0"/>
          <w:numId w:val="10"/>
        </w:numPr>
        <w:spacing w:after="240"/>
        <w:ind w:left="2694" w:hanging="357"/>
        <w:contextualSpacing w:val="0"/>
        <w:jc w:val="both"/>
        <w:rPr>
          <w:sz w:val="24"/>
        </w:rPr>
      </w:pPr>
      <w:r w:rsidRPr="00BF1AE6">
        <w:rPr>
          <w:sz w:val="24"/>
          <w:lang w:val="en-US"/>
        </w:rPr>
        <w:t xml:space="preserve">There was a lack of </w:t>
      </w:r>
      <w:proofErr w:type="spellStart"/>
      <w:r w:rsidRPr="00BF1AE6">
        <w:rPr>
          <w:sz w:val="24"/>
          <w:lang w:val="en-US"/>
        </w:rPr>
        <w:t>prioritisation</w:t>
      </w:r>
      <w:proofErr w:type="spellEnd"/>
      <w:r w:rsidRPr="00BF1AE6">
        <w:rPr>
          <w:sz w:val="24"/>
          <w:lang w:val="en-US"/>
        </w:rPr>
        <w:t xml:space="preserve"> and targeting of learners within this intervention.</w:t>
      </w:r>
    </w:p>
    <w:p w:rsidR="000C6886" w:rsidRPr="009B6B0C" w:rsidRDefault="000C6886" w:rsidP="000C6886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2694" w:hanging="357"/>
        <w:jc w:val="both"/>
        <w:rPr>
          <w:rFonts w:eastAsiaTheme="minorHAnsi"/>
          <w:b/>
          <w:color w:val="000000"/>
          <w:sz w:val="24"/>
        </w:rPr>
      </w:pPr>
      <w:r w:rsidRPr="009B6B0C">
        <w:rPr>
          <w:rFonts w:eastAsiaTheme="minorHAnsi"/>
          <w:b/>
          <w:color w:val="000000"/>
          <w:sz w:val="24"/>
        </w:rPr>
        <w:t>Human Papillomavirus (HPV) vaccination</w:t>
      </w:r>
      <w:r>
        <w:rPr>
          <w:rFonts w:eastAsiaTheme="minorHAnsi"/>
          <w:b/>
          <w:color w:val="000000"/>
          <w:sz w:val="24"/>
        </w:rPr>
        <w:t xml:space="preserve"> </w:t>
      </w:r>
      <w:r w:rsidRPr="009B6B0C">
        <w:rPr>
          <w:rFonts w:eastAsiaTheme="minorHAnsi"/>
          <w:color w:val="000000"/>
          <w:sz w:val="24"/>
        </w:rPr>
        <w:t>campaign as part of the ISHP was launched in 2014. Of 2</w:t>
      </w:r>
      <w:r>
        <w:rPr>
          <w:rFonts w:eastAsiaTheme="minorHAnsi"/>
          <w:color w:val="000000"/>
          <w:sz w:val="24"/>
        </w:rPr>
        <w:t>,</w:t>
      </w:r>
      <w:r w:rsidRPr="009B6B0C">
        <w:rPr>
          <w:rFonts w:eastAsiaTheme="minorHAnsi"/>
          <w:color w:val="000000"/>
          <w:sz w:val="24"/>
        </w:rPr>
        <w:t>289</w:t>
      </w:r>
      <w:r>
        <w:rPr>
          <w:rFonts w:eastAsiaTheme="minorHAnsi"/>
          <w:color w:val="000000"/>
          <w:sz w:val="24"/>
        </w:rPr>
        <w:t>,</w:t>
      </w:r>
      <w:r w:rsidRPr="009B6B0C">
        <w:rPr>
          <w:rFonts w:eastAsiaTheme="minorHAnsi"/>
          <w:color w:val="000000"/>
          <w:sz w:val="24"/>
        </w:rPr>
        <w:t>699 girls in Grade 4, 1</w:t>
      </w:r>
      <w:r>
        <w:rPr>
          <w:rFonts w:eastAsiaTheme="minorHAnsi"/>
          <w:color w:val="000000"/>
          <w:sz w:val="24"/>
        </w:rPr>
        <w:t>,</w:t>
      </w:r>
      <w:r w:rsidRPr="009B6B0C">
        <w:rPr>
          <w:rFonts w:eastAsiaTheme="minorHAnsi"/>
          <w:color w:val="000000"/>
          <w:sz w:val="24"/>
        </w:rPr>
        <w:t>934</w:t>
      </w:r>
      <w:r>
        <w:rPr>
          <w:rFonts w:eastAsiaTheme="minorHAnsi"/>
          <w:color w:val="000000"/>
          <w:sz w:val="24"/>
        </w:rPr>
        <w:t>,</w:t>
      </w:r>
      <w:r w:rsidRPr="009B6B0C">
        <w:rPr>
          <w:rFonts w:eastAsiaTheme="minorHAnsi"/>
          <w:color w:val="000000"/>
          <w:sz w:val="24"/>
        </w:rPr>
        <w:t xml:space="preserve">635 received HPV vaccines. </w:t>
      </w:r>
    </w:p>
    <w:p w:rsidR="000C6886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Pr="009D4118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0C6886">
      <w:pPr>
        <w:pStyle w:val="ListParagraph"/>
        <w:numPr>
          <w:ilvl w:val="0"/>
          <w:numId w:val="8"/>
        </w:numPr>
        <w:ind w:left="1985" w:hanging="644"/>
        <w:contextualSpacing w:val="0"/>
        <w:jc w:val="both"/>
        <w:rPr>
          <w:b/>
          <w:sz w:val="24"/>
          <w:lang w:val="en-US"/>
        </w:rPr>
      </w:pPr>
      <w:r w:rsidRPr="00BA5E12">
        <w:rPr>
          <w:b/>
          <w:bCs/>
          <w:sz w:val="24"/>
          <w:lang w:val="en-US"/>
        </w:rPr>
        <w:lastRenderedPageBreak/>
        <w:t>G</w:t>
      </w:r>
      <w:r>
        <w:rPr>
          <w:b/>
          <w:bCs/>
          <w:sz w:val="24"/>
          <w:lang w:val="en-US"/>
        </w:rPr>
        <w:t>eneral Practitioners (GPs)</w:t>
      </w:r>
      <w:r w:rsidRPr="00BA5E12">
        <w:rPr>
          <w:b/>
          <w:bCs/>
          <w:sz w:val="24"/>
          <w:lang w:val="en-US"/>
        </w:rPr>
        <w:t xml:space="preserve"> Contracting</w:t>
      </w:r>
      <w:r w:rsidRPr="00BA5E12">
        <w:rPr>
          <w:b/>
          <w:sz w:val="24"/>
          <w:lang w:val="en-US"/>
        </w:rPr>
        <w:t xml:space="preserve"> </w:t>
      </w:r>
    </w:p>
    <w:p w:rsidR="000C6886" w:rsidRPr="000C6886" w:rsidRDefault="000C6886" w:rsidP="000C6886">
      <w:pPr>
        <w:jc w:val="both"/>
        <w:rPr>
          <w:b/>
          <w:sz w:val="24"/>
          <w:lang w:val="en-US"/>
        </w:rPr>
      </w:pPr>
    </w:p>
    <w:p w:rsidR="000C6886" w:rsidRPr="000C6886" w:rsidRDefault="000C6886" w:rsidP="000C6886">
      <w:pPr>
        <w:pStyle w:val="ListParagraph"/>
        <w:numPr>
          <w:ilvl w:val="0"/>
          <w:numId w:val="11"/>
        </w:numPr>
        <w:spacing w:after="240"/>
        <w:ind w:left="2551" w:hanging="357"/>
        <w:contextualSpacing w:val="0"/>
        <w:jc w:val="both"/>
        <w:rPr>
          <w:sz w:val="24"/>
        </w:rPr>
      </w:pPr>
      <w:r w:rsidRPr="000C6886">
        <w:rPr>
          <w:sz w:val="24"/>
        </w:rPr>
        <w:t xml:space="preserve">A total of 330 General Practitioners (GP) had been contracted by end of 2017/2018. </w:t>
      </w:r>
    </w:p>
    <w:p w:rsidR="000C6886" w:rsidRDefault="000C6886" w:rsidP="000C6886">
      <w:pPr>
        <w:pStyle w:val="ListParagraph"/>
        <w:numPr>
          <w:ilvl w:val="0"/>
          <w:numId w:val="11"/>
        </w:numPr>
        <w:spacing w:after="240"/>
        <w:ind w:left="2551" w:hanging="357"/>
        <w:contextualSpacing w:val="0"/>
        <w:jc w:val="both"/>
        <w:rPr>
          <w:sz w:val="24"/>
        </w:rPr>
      </w:pPr>
      <w:r w:rsidRPr="007B5C92">
        <w:rPr>
          <w:sz w:val="24"/>
        </w:rPr>
        <w:t xml:space="preserve">Where contracting </w:t>
      </w:r>
      <w:r>
        <w:rPr>
          <w:sz w:val="24"/>
        </w:rPr>
        <w:t xml:space="preserve">of </w:t>
      </w:r>
      <w:r w:rsidRPr="007B5C92">
        <w:rPr>
          <w:sz w:val="24"/>
        </w:rPr>
        <w:t>GP</w:t>
      </w:r>
      <w:r>
        <w:rPr>
          <w:sz w:val="24"/>
        </w:rPr>
        <w:t>s</w:t>
      </w:r>
      <w:r w:rsidRPr="007B5C92">
        <w:rPr>
          <w:sz w:val="24"/>
        </w:rPr>
        <w:t xml:space="preserve"> was implemented successfully, the access to doctors improved at </w:t>
      </w:r>
      <w:r>
        <w:rPr>
          <w:sz w:val="24"/>
        </w:rPr>
        <w:t xml:space="preserve">PHC </w:t>
      </w:r>
      <w:r w:rsidRPr="007B5C92">
        <w:rPr>
          <w:sz w:val="24"/>
        </w:rPr>
        <w:t xml:space="preserve">facilities. Patients </w:t>
      </w:r>
      <w:r>
        <w:rPr>
          <w:sz w:val="24"/>
        </w:rPr>
        <w:t xml:space="preserve">also </w:t>
      </w:r>
      <w:r w:rsidRPr="007B5C92">
        <w:rPr>
          <w:sz w:val="24"/>
        </w:rPr>
        <w:t>perceived that the quality of care improved at facilities due to the presence of GPs.</w:t>
      </w:r>
    </w:p>
    <w:p w:rsidR="000C6886" w:rsidRDefault="000C6886" w:rsidP="000C6886">
      <w:pPr>
        <w:pStyle w:val="ListParagraph"/>
        <w:numPr>
          <w:ilvl w:val="0"/>
          <w:numId w:val="11"/>
        </w:numPr>
        <w:spacing w:after="240"/>
        <w:ind w:left="2551" w:hanging="357"/>
        <w:contextualSpacing w:val="0"/>
        <w:jc w:val="both"/>
        <w:rPr>
          <w:sz w:val="24"/>
        </w:rPr>
      </w:pPr>
      <w:r w:rsidRPr="00E13280">
        <w:rPr>
          <w:sz w:val="24"/>
        </w:rPr>
        <w:t xml:space="preserve">Inadequate monitoring of </w:t>
      </w:r>
      <w:r>
        <w:rPr>
          <w:sz w:val="24"/>
        </w:rPr>
        <w:t>contracted</w:t>
      </w:r>
      <w:r w:rsidRPr="00E13280">
        <w:rPr>
          <w:sz w:val="24"/>
        </w:rPr>
        <w:t xml:space="preserve"> GPs caused some challenges during implementation. </w:t>
      </w:r>
    </w:p>
    <w:p w:rsidR="000C6886" w:rsidRDefault="000C6886" w:rsidP="000C6886">
      <w:pPr>
        <w:pStyle w:val="ListParagraph"/>
        <w:numPr>
          <w:ilvl w:val="0"/>
          <w:numId w:val="11"/>
        </w:numPr>
        <w:spacing w:after="240"/>
        <w:ind w:left="2551" w:hanging="357"/>
        <w:contextualSpacing w:val="0"/>
        <w:jc w:val="both"/>
        <w:rPr>
          <w:sz w:val="24"/>
        </w:rPr>
      </w:pPr>
      <w:r w:rsidRPr="00E13280">
        <w:rPr>
          <w:sz w:val="24"/>
        </w:rPr>
        <w:t xml:space="preserve">Unforeseen </w:t>
      </w:r>
      <w:r>
        <w:rPr>
          <w:sz w:val="24"/>
        </w:rPr>
        <w:t xml:space="preserve">challenges including negotiations that were outside of the DPSA rates as well as inadequate monitoring of </w:t>
      </w:r>
      <w:r w:rsidRPr="00E13280">
        <w:rPr>
          <w:sz w:val="24"/>
        </w:rPr>
        <w:t>contract</w:t>
      </w:r>
      <w:r>
        <w:rPr>
          <w:sz w:val="24"/>
        </w:rPr>
        <w:t xml:space="preserve">s </w:t>
      </w:r>
      <w:r w:rsidRPr="00E13280">
        <w:rPr>
          <w:sz w:val="24"/>
        </w:rPr>
        <w:t xml:space="preserve">resulted in GPs </w:t>
      </w:r>
      <w:r>
        <w:rPr>
          <w:sz w:val="24"/>
        </w:rPr>
        <w:t>claiming</w:t>
      </w:r>
      <w:r w:rsidRPr="00E13280">
        <w:rPr>
          <w:sz w:val="24"/>
        </w:rPr>
        <w:t xml:space="preserve"> substantially higher expens</w:t>
      </w:r>
      <w:r>
        <w:rPr>
          <w:sz w:val="24"/>
        </w:rPr>
        <w:t>es</w:t>
      </w:r>
      <w:r w:rsidRPr="00E13280">
        <w:rPr>
          <w:sz w:val="24"/>
        </w:rPr>
        <w:t xml:space="preserve"> than </w:t>
      </w:r>
      <w:r>
        <w:rPr>
          <w:sz w:val="24"/>
        </w:rPr>
        <w:t>budgeted for</w:t>
      </w:r>
      <w:r w:rsidRPr="00E13280">
        <w:rPr>
          <w:sz w:val="24"/>
        </w:rPr>
        <w:t xml:space="preserve">. </w:t>
      </w:r>
    </w:p>
    <w:p w:rsidR="000C6886" w:rsidRPr="00E13280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0C6886">
      <w:pPr>
        <w:pStyle w:val="ListParagraph"/>
        <w:numPr>
          <w:ilvl w:val="0"/>
          <w:numId w:val="8"/>
        </w:numPr>
        <w:ind w:left="1843" w:hanging="502"/>
        <w:contextualSpacing w:val="0"/>
        <w:jc w:val="both"/>
        <w:rPr>
          <w:b/>
          <w:bCs/>
          <w:sz w:val="24"/>
          <w:lang w:val="en-US"/>
        </w:rPr>
      </w:pPr>
      <w:r w:rsidRPr="00BA5E12">
        <w:rPr>
          <w:b/>
          <w:bCs/>
          <w:sz w:val="24"/>
          <w:lang w:val="en-US"/>
        </w:rPr>
        <w:t xml:space="preserve">Ideal Clinic </w:t>
      </w:r>
      <w:proofErr w:type="spellStart"/>
      <w:r w:rsidRPr="00BA5E12">
        <w:rPr>
          <w:b/>
          <w:bCs/>
          <w:sz w:val="24"/>
          <w:lang w:val="en-US"/>
        </w:rPr>
        <w:t>Realisation</w:t>
      </w:r>
      <w:proofErr w:type="spellEnd"/>
      <w:r w:rsidRPr="00BA5E12">
        <w:rPr>
          <w:b/>
          <w:bCs/>
          <w:sz w:val="24"/>
          <w:lang w:val="en-US"/>
        </w:rPr>
        <w:t xml:space="preserve"> Model (ICRM)</w:t>
      </w:r>
    </w:p>
    <w:p w:rsidR="000C6886" w:rsidRPr="000C6886" w:rsidRDefault="000C6886" w:rsidP="000C6886">
      <w:pPr>
        <w:jc w:val="both"/>
        <w:rPr>
          <w:b/>
          <w:bCs/>
          <w:sz w:val="24"/>
          <w:lang w:val="en-US"/>
        </w:rPr>
      </w:pPr>
    </w:p>
    <w:p w:rsidR="000C6886" w:rsidRPr="000C6886" w:rsidRDefault="000C6886" w:rsidP="000C6886">
      <w:pPr>
        <w:pStyle w:val="ListParagraph"/>
        <w:numPr>
          <w:ilvl w:val="0"/>
          <w:numId w:val="12"/>
        </w:numPr>
        <w:spacing w:after="240"/>
        <w:ind w:left="2410" w:hanging="425"/>
        <w:contextualSpacing w:val="0"/>
        <w:jc w:val="both"/>
        <w:rPr>
          <w:sz w:val="24"/>
        </w:rPr>
      </w:pPr>
      <w:r w:rsidRPr="000C6886">
        <w:rPr>
          <w:sz w:val="24"/>
        </w:rPr>
        <w:t xml:space="preserve">A total of 3434 facilities had been assessed of which 1507 had attained ideal clinic status at end of 2017/2018. </w:t>
      </w:r>
    </w:p>
    <w:p w:rsidR="000C6886" w:rsidRDefault="000C6886" w:rsidP="000C6886">
      <w:pPr>
        <w:pStyle w:val="ListParagraph"/>
        <w:numPr>
          <w:ilvl w:val="0"/>
          <w:numId w:val="12"/>
        </w:numPr>
        <w:spacing w:after="240"/>
        <w:ind w:left="2410" w:hanging="425"/>
        <w:contextualSpacing w:val="0"/>
        <w:jc w:val="both"/>
        <w:rPr>
          <w:sz w:val="24"/>
        </w:rPr>
      </w:pPr>
      <w:r w:rsidRPr="009D4118">
        <w:rPr>
          <w:sz w:val="24"/>
        </w:rPr>
        <w:t xml:space="preserve">This project is deemed to have improved the ability of facilities to procure much needed equipment. </w:t>
      </w:r>
    </w:p>
    <w:p w:rsidR="000C6886" w:rsidRDefault="000C6886" w:rsidP="000C6886">
      <w:pPr>
        <w:pStyle w:val="ListParagraph"/>
        <w:numPr>
          <w:ilvl w:val="0"/>
          <w:numId w:val="12"/>
        </w:numPr>
        <w:spacing w:after="240"/>
        <w:ind w:left="2410" w:hanging="425"/>
        <w:contextualSpacing w:val="0"/>
        <w:jc w:val="both"/>
        <w:rPr>
          <w:sz w:val="24"/>
        </w:rPr>
      </w:pPr>
      <w:r w:rsidRPr="009D4118">
        <w:rPr>
          <w:sz w:val="24"/>
        </w:rPr>
        <w:t xml:space="preserve">Where </w:t>
      </w:r>
      <w:r>
        <w:rPr>
          <w:sz w:val="24"/>
        </w:rPr>
        <w:t xml:space="preserve">the </w:t>
      </w:r>
      <w:r w:rsidRPr="009D4118">
        <w:rPr>
          <w:sz w:val="24"/>
        </w:rPr>
        <w:t>ICRM was believed to have been implemented as planned, there was a perceived improvement in quality of care by both facility managers and patients.</w:t>
      </w:r>
    </w:p>
    <w:p w:rsidR="000C6886" w:rsidRDefault="000C6886" w:rsidP="000C6886">
      <w:pPr>
        <w:pStyle w:val="ListParagraph"/>
        <w:numPr>
          <w:ilvl w:val="0"/>
          <w:numId w:val="12"/>
        </w:numPr>
        <w:spacing w:after="240"/>
        <w:ind w:left="2410" w:hanging="425"/>
        <w:contextualSpacing w:val="0"/>
        <w:jc w:val="both"/>
        <w:rPr>
          <w:sz w:val="24"/>
        </w:rPr>
      </w:pPr>
      <w:r>
        <w:rPr>
          <w:sz w:val="24"/>
        </w:rPr>
        <w:t xml:space="preserve">One of the challenges identified was that </w:t>
      </w:r>
      <w:r w:rsidRPr="00DE76B8">
        <w:rPr>
          <w:sz w:val="24"/>
        </w:rPr>
        <w:t xml:space="preserve">ICRM limited flexibility and the ability for managers to adapt facilities to the local context and to the needs of the facilities at the time. </w:t>
      </w:r>
    </w:p>
    <w:p w:rsidR="000C6886" w:rsidRDefault="000C6886" w:rsidP="000C6886">
      <w:pPr>
        <w:pStyle w:val="ListParagraph"/>
        <w:numPr>
          <w:ilvl w:val="0"/>
          <w:numId w:val="12"/>
        </w:numPr>
        <w:spacing w:after="240"/>
        <w:ind w:left="2410" w:hanging="425"/>
        <w:contextualSpacing w:val="0"/>
        <w:jc w:val="both"/>
        <w:rPr>
          <w:sz w:val="24"/>
        </w:rPr>
      </w:pPr>
      <w:r w:rsidRPr="00DE76B8">
        <w:rPr>
          <w:sz w:val="24"/>
        </w:rPr>
        <w:t xml:space="preserve">The changing manual and frequent change of standards </w:t>
      </w:r>
      <w:r>
        <w:rPr>
          <w:sz w:val="24"/>
        </w:rPr>
        <w:t xml:space="preserve">in the ICRM </w:t>
      </w:r>
      <w:r w:rsidRPr="00DE76B8">
        <w:rPr>
          <w:sz w:val="24"/>
        </w:rPr>
        <w:t xml:space="preserve">made it difficult for managers to keep up </w:t>
      </w:r>
      <w:r>
        <w:rPr>
          <w:sz w:val="24"/>
        </w:rPr>
        <w:t xml:space="preserve">with the changes </w:t>
      </w:r>
      <w:r w:rsidRPr="00DE76B8">
        <w:rPr>
          <w:sz w:val="24"/>
        </w:rPr>
        <w:t xml:space="preserve">and resulted in </w:t>
      </w:r>
      <w:r>
        <w:rPr>
          <w:sz w:val="24"/>
        </w:rPr>
        <w:t xml:space="preserve">managers experiencing </w:t>
      </w:r>
      <w:r w:rsidRPr="00DE76B8">
        <w:rPr>
          <w:sz w:val="24"/>
        </w:rPr>
        <w:t xml:space="preserve">frustration. </w:t>
      </w:r>
    </w:p>
    <w:p w:rsidR="000C6886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3664FE">
      <w:pPr>
        <w:pStyle w:val="ListParagraph"/>
        <w:numPr>
          <w:ilvl w:val="0"/>
          <w:numId w:val="8"/>
        </w:numPr>
        <w:ind w:left="1843" w:hanging="502"/>
        <w:contextualSpacing w:val="0"/>
        <w:jc w:val="both"/>
        <w:rPr>
          <w:b/>
          <w:bCs/>
          <w:sz w:val="24"/>
          <w:lang w:val="en-US"/>
        </w:rPr>
      </w:pPr>
      <w:r w:rsidRPr="00BA5E12">
        <w:rPr>
          <w:b/>
          <w:bCs/>
          <w:sz w:val="24"/>
          <w:lang w:val="en-US"/>
        </w:rPr>
        <w:t>District Clinical Specialist Teams (DCST)</w:t>
      </w:r>
    </w:p>
    <w:p w:rsidR="003664FE" w:rsidRPr="003664FE" w:rsidRDefault="003664FE" w:rsidP="003664FE">
      <w:pPr>
        <w:jc w:val="both"/>
        <w:rPr>
          <w:b/>
          <w:bCs/>
          <w:sz w:val="24"/>
          <w:lang w:val="en-US"/>
        </w:rPr>
      </w:pPr>
    </w:p>
    <w:p w:rsidR="000C6886" w:rsidRPr="003664FE" w:rsidRDefault="000C6886" w:rsidP="003664FE">
      <w:pPr>
        <w:pStyle w:val="ListParagraph"/>
        <w:numPr>
          <w:ilvl w:val="0"/>
          <w:numId w:val="13"/>
        </w:numPr>
        <w:spacing w:after="240"/>
        <w:ind w:left="2410" w:hanging="357"/>
        <w:contextualSpacing w:val="0"/>
        <w:jc w:val="both"/>
        <w:rPr>
          <w:sz w:val="24"/>
        </w:rPr>
      </w:pPr>
      <w:r w:rsidRPr="003664FE">
        <w:rPr>
          <w:sz w:val="24"/>
        </w:rPr>
        <w:t xml:space="preserve">At the end of March 2017, 45 of 52 districts in nine provinces had functional DCSTs with at least three members per team to provide specialist oversight within the districts. </w:t>
      </w:r>
    </w:p>
    <w:p w:rsidR="000C6886" w:rsidRDefault="000C6886" w:rsidP="003664FE">
      <w:pPr>
        <w:pStyle w:val="ListParagraph"/>
        <w:numPr>
          <w:ilvl w:val="0"/>
          <w:numId w:val="13"/>
        </w:numPr>
        <w:spacing w:after="240"/>
        <w:ind w:left="2410" w:hanging="357"/>
        <w:contextualSpacing w:val="0"/>
        <w:jc w:val="both"/>
        <w:rPr>
          <w:sz w:val="24"/>
        </w:rPr>
      </w:pPr>
      <w:r w:rsidRPr="00584041">
        <w:rPr>
          <w:sz w:val="24"/>
        </w:rPr>
        <w:t xml:space="preserve">The introduction of these teams was perceived by some stakeholders to have promoted clinical governance within the districts. </w:t>
      </w:r>
    </w:p>
    <w:p w:rsidR="000C6886" w:rsidRDefault="000C6886" w:rsidP="003664FE">
      <w:pPr>
        <w:pStyle w:val="ListParagraph"/>
        <w:numPr>
          <w:ilvl w:val="0"/>
          <w:numId w:val="13"/>
        </w:numPr>
        <w:spacing w:after="240"/>
        <w:ind w:left="2410" w:hanging="357"/>
        <w:contextualSpacing w:val="0"/>
        <w:jc w:val="both"/>
        <w:rPr>
          <w:sz w:val="24"/>
        </w:rPr>
      </w:pPr>
      <w:r w:rsidRPr="00584041">
        <w:rPr>
          <w:sz w:val="24"/>
        </w:rPr>
        <w:t xml:space="preserve">The team composition, which often lacked critical specialists, limited their ability to provide the envisioned training and support structures.  </w:t>
      </w:r>
    </w:p>
    <w:p w:rsidR="000C6886" w:rsidRDefault="000C6886" w:rsidP="003664FE">
      <w:pPr>
        <w:pStyle w:val="ListParagraph"/>
        <w:numPr>
          <w:ilvl w:val="0"/>
          <w:numId w:val="13"/>
        </w:numPr>
        <w:spacing w:after="240"/>
        <w:ind w:left="2410" w:hanging="357"/>
        <w:contextualSpacing w:val="0"/>
        <w:jc w:val="both"/>
        <w:rPr>
          <w:sz w:val="24"/>
        </w:rPr>
      </w:pPr>
      <w:r w:rsidRPr="00584041">
        <w:rPr>
          <w:sz w:val="24"/>
        </w:rPr>
        <w:t>The lack of gynaecologist and paediatricians meant that DCSTs were not able to adequately improve child and maternal health as envisioned.</w:t>
      </w:r>
    </w:p>
    <w:p w:rsidR="000C6886" w:rsidRDefault="000C6886" w:rsidP="003664FE">
      <w:pPr>
        <w:pStyle w:val="ListParagraph"/>
        <w:numPr>
          <w:ilvl w:val="0"/>
          <w:numId w:val="13"/>
        </w:numPr>
        <w:spacing w:after="240"/>
        <w:ind w:left="2410" w:hanging="357"/>
        <w:contextualSpacing w:val="0"/>
        <w:jc w:val="both"/>
        <w:rPr>
          <w:sz w:val="24"/>
        </w:rPr>
      </w:pPr>
      <w:r w:rsidRPr="000D5F1A">
        <w:rPr>
          <w:sz w:val="24"/>
        </w:rPr>
        <w:t xml:space="preserve">Not all specialists </w:t>
      </w:r>
      <w:r>
        <w:rPr>
          <w:sz w:val="24"/>
        </w:rPr>
        <w:t xml:space="preserve">were seen </w:t>
      </w:r>
      <w:r w:rsidRPr="000D5F1A">
        <w:rPr>
          <w:sz w:val="24"/>
        </w:rPr>
        <w:t xml:space="preserve">necessarily </w:t>
      </w:r>
      <w:r>
        <w:rPr>
          <w:sz w:val="24"/>
        </w:rPr>
        <w:t xml:space="preserve">as </w:t>
      </w:r>
      <w:r w:rsidRPr="000D5F1A">
        <w:rPr>
          <w:sz w:val="24"/>
        </w:rPr>
        <w:t>good mentors and</w:t>
      </w:r>
      <w:r>
        <w:rPr>
          <w:sz w:val="24"/>
        </w:rPr>
        <w:t xml:space="preserve"> they</w:t>
      </w:r>
      <w:r w:rsidRPr="000D5F1A">
        <w:rPr>
          <w:sz w:val="24"/>
        </w:rPr>
        <w:t xml:space="preserve"> may</w:t>
      </w:r>
      <w:r>
        <w:rPr>
          <w:sz w:val="24"/>
        </w:rPr>
        <w:t xml:space="preserve"> have</w:t>
      </w:r>
      <w:r w:rsidRPr="000D5F1A">
        <w:rPr>
          <w:sz w:val="24"/>
        </w:rPr>
        <w:t xml:space="preserve"> be</w:t>
      </w:r>
      <w:r>
        <w:rPr>
          <w:sz w:val="24"/>
        </w:rPr>
        <w:t xml:space="preserve">en </w:t>
      </w:r>
      <w:r w:rsidRPr="000D5F1A">
        <w:rPr>
          <w:sz w:val="24"/>
        </w:rPr>
        <w:t xml:space="preserve">unable to provide adequate support. </w:t>
      </w:r>
    </w:p>
    <w:p w:rsidR="000C6886" w:rsidRDefault="000C6886" w:rsidP="003664FE">
      <w:pPr>
        <w:pStyle w:val="ListParagraph"/>
        <w:numPr>
          <w:ilvl w:val="0"/>
          <w:numId w:val="13"/>
        </w:numPr>
        <w:spacing w:after="240"/>
        <w:ind w:left="2410" w:hanging="357"/>
        <w:contextualSpacing w:val="0"/>
        <w:jc w:val="both"/>
        <w:rPr>
          <w:sz w:val="24"/>
        </w:rPr>
      </w:pPr>
      <w:r w:rsidRPr="000D5F1A">
        <w:rPr>
          <w:sz w:val="24"/>
        </w:rPr>
        <w:lastRenderedPageBreak/>
        <w:t xml:space="preserve">The DCST model </w:t>
      </w:r>
      <w:r>
        <w:rPr>
          <w:sz w:val="24"/>
        </w:rPr>
        <w:t>was assessed to be</w:t>
      </w:r>
      <w:r w:rsidRPr="000D5F1A">
        <w:rPr>
          <w:sz w:val="24"/>
        </w:rPr>
        <w:t xml:space="preserve"> a costly model and </w:t>
      </w:r>
      <w:r>
        <w:rPr>
          <w:sz w:val="24"/>
        </w:rPr>
        <w:t xml:space="preserve">it </w:t>
      </w:r>
      <w:r w:rsidRPr="000D5F1A">
        <w:rPr>
          <w:sz w:val="24"/>
        </w:rPr>
        <w:t>stretche</w:t>
      </w:r>
      <w:r>
        <w:rPr>
          <w:sz w:val="24"/>
        </w:rPr>
        <w:t>d</w:t>
      </w:r>
      <w:r w:rsidRPr="000D5F1A">
        <w:rPr>
          <w:sz w:val="24"/>
        </w:rPr>
        <w:t xml:space="preserve"> the limited specialist resources in the public sector.</w:t>
      </w:r>
    </w:p>
    <w:p w:rsidR="000C6886" w:rsidRPr="000D5F1A" w:rsidRDefault="000C6886" w:rsidP="000C6886">
      <w:pPr>
        <w:pStyle w:val="ListParagraph"/>
        <w:ind w:left="1080"/>
        <w:contextualSpacing w:val="0"/>
        <w:jc w:val="both"/>
        <w:rPr>
          <w:sz w:val="24"/>
        </w:rPr>
      </w:pPr>
    </w:p>
    <w:p w:rsidR="000C6886" w:rsidRDefault="000C6886" w:rsidP="003664FE">
      <w:pPr>
        <w:pStyle w:val="Default"/>
        <w:numPr>
          <w:ilvl w:val="0"/>
          <w:numId w:val="8"/>
        </w:numPr>
        <w:ind w:left="1843" w:hanging="567"/>
        <w:jc w:val="both"/>
        <w:rPr>
          <w:b/>
          <w:bCs/>
          <w:lang w:val="en-US"/>
        </w:rPr>
      </w:pPr>
      <w:r w:rsidRPr="009B0A69">
        <w:rPr>
          <w:b/>
        </w:rPr>
        <w:t xml:space="preserve">Centralised Chronic Medicine Dispensing and Distribution </w:t>
      </w:r>
      <w:r>
        <w:rPr>
          <w:b/>
        </w:rPr>
        <w:t>(</w:t>
      </w:r>
      <w:r>
        <w:rPr>
          <w:b/>
          <w:bCs/>
          <w:lang w:val="en-US"/>
        </w:rPr>
        <w:t>CCMDD)</w:t>
      </w:r>
    </w:p>
    <w:p w:rsidR="003664FE" w:rsidRPr="009B0A69" w:rsidRDefault="003664FE" w:rsidP="003664FE">
      <w:pPr>
        <w:pStyle w:val="Default"/>
        <w:jc w:val="both"/>
        <w:rPr>
          <w:b/>
          <w:bCs/>
          <w:lang w:val="en-US"/>
        </w:rPr>
      </w:pPr>
    </w:p>
    <w:p w:rsidR="000C6886" w:rsidRPr="003664FE" w:rsidRDefault="000C6886" w:rsidP="003664FE">
      <w:pPr>
        <w:pStyle w:val="ListParagraph"/>
        <w:numPr>
          <w:ilvl w:val="0"/>
          <w:numId w:val="14"/>
        </w:numPr>
        <w:spacing w:after="240"/>
        <w:ind w:left="2410" w:hanging="357"/>
        <w:contextualSpacing w:val="0"/>
        <w:jc w:val="both"/>
        <w:rPr>
          <w:sz w:val="24"/>
        </w:rPr>
      </w:pPr>
      <w:r w:rsidRPr="003664FE">
        <w:rPr>
          <w:sz w:val="24"/>
        </w:rPr>
        <w:t>A total of 2 182 422 patients enrolled on the CCMDD, collec</w:t>
      </w:r>
      <w:r w:rsidR="003664FE">
        <w:rPr>
          <w:sz w:val="24"/>
        </w:rPr>
        <w:t>ting medicines in over 855 pick-</w:t>
      </w:r>
      <w:r w:rsidRPr="003664FE">
        <w:rPr>
          <w:sz w:val="24"/>
        </w:rPr>
        <w:t>up points (PUPs) at the end of 2017/2018.</w:t>
      </w:r>
    </w:p>
    <w:p w:rsidR="000C6886" w:rsidRDefault="000C6886" w:rsidP="003664FE">
      <w:pPr>
        <w:pStyle w:val="ListParagraph"/>
        <w:numPr>
          <w:ilvl w:val="0"/>
          <w:numId w:val="14"/>
        </w:numPr>
        <w:spacing w:after="240"/>
        <w:ind w:left="2410" w:hanging="357"/>
        <w:contextualSpacing w:val="0"/>
        <w:jc w:val="both"/>
        <w:rPr>
          <w:sz w:val="24"/>
        </w:rPr>
      </w:pPr>
      <w:r w:rsidRPr="000F4089">
        <w:rPr>
          <w:sz w:val="24"/>
        </w:rPr>
        <w:t>The strong political leadership and will behind CCMDD contributed towards its successful implementation.</w:t>
      </w:r>
    </w:p>
    <w:p w:rsidR="000C6886" w:rsidRDefault="000C6886" w:rsidP="003664FE">
      <w:pPr>
        <w:pStyle w:val="ListParagraph"/>
        <w:numPr>
          <w:ilvl w:val="0"/>
          <w:numId w:val="14"/>
        </w:numPr>
        <w:spacing w:after="240"/>
        <w:ind w:left="2410" w:hanging="357"/>
        <w:contextualSpacing w:val="0"/>
        <w:jc w:val="both"/>
        <w:rPr>
          <w:sz w:val="24"/>
        </w:rPr>
      </w:pPr>
      <w:r w:rsidRPr="00387DC5">
        <w:rPr>
          <w:sz w:val="24"/>
        </w:rPr>
        <w:t xml:space="preserve">CCMDD was scaled up beyond target and the consistent monitoring of the programme contributed to the availability of reliable data to support continued implementation. </w:t>
      </w:r>
    </w:p>
    <w:p w:rsidR="000C6886" w:rsidRDefault="000C6886" w:rsidP="003664FE">
      <w:pPr>
        <w:pStyle w:val="ListParagraph"/>
        <w:numPr>
          <w:ilvl w:val="0"/>
          <w:numId w:val="14"/>
        </w:numPr>
        <w:spacing w:after="240"/>
        <w:ind w:left="2410" w:hanging="357"/>
        <w:contextualSpacing w:val="0"/>
        <w:jc w:val="both"/>
        <w:rPr>
          <w:sz w:val="24"/>
        </w:rPr>
      </w:pPr>
      <w:r w:rsidRPr="00387DC5">
        <w:rPr>
          <w:sz w:val="24"/>
        </w:rPr>
        <w:t>Change</w:t>
      </w:r>
      <w:r>
        <w:rPr>
          <w:sz w:val="24"/>
        </w:rPr>
        <w:t xml:space="preserve">s </w:t>
      </w:r>
      <w:r w:rsidRPr="00387DC5">
        <w:rPr>
          <w:sz w:val="24"/>
        </w:rPr>
        <w:t xml:space="preserve">of service providers threatened the intervention’s continuity. </w:t>
      </w:r>
    </w:p>
    <w:p w:rsidR="000C6886" w:rsidRDefault="000C6886" w:rsidP="003664FE">
      <w:pPr>
        <w:pStyle w:val="ListParagraph"/>
        <w:numPr>
          <w:ilvl w:val="0"/>
          <w:numId w:val="14"/>
        </w:numPr>
        <w:spacing w:after="240"/>
        <w:ind w:left="2410" w:hanging="357"/>
        <w:contextualSpacing w:val="0"/>
        <w:jc w:val="both"/>
        <w:rPr>
          <w:sz w:val="24"/>
        </w:rPr>
      </w:pPr>
      <w:r w:rsidRPr="006F6030">
        <w:rPr>
          <w:sz w:val="24"/>
        </w:rPr>
        <w:t>The lack of sufficient integration between CCMDD pick</w:t>
      </w:r>
      <w:r>
        <w:rPr>
          <w:sz w:val="24"/>
        </w:rPr>
        <w:t>-</w:t>
      </w:r>
      <w:r w:rsidRPr="006F6030">
        <w:rPr>
          <w:sz w:val="24"/>
        </w:rPr>
        <w:t>up points and facilities resulted in inadequate tracking of patients between the two systems.</w:t>
      </w:r>
    </w:p>
    <w:p w:rsidR="000C6886" w:rsidRPr="006F6030" w:rsidRDefault="000C6886" w:rsidP="000C6886">
      <w:pPr>
        <w:ind w:left="720"/>
        <w:jc w:val="both"/>
        <w:rPr>
          <w:sz w:val="24"/>
        </w:rPr>
      </w:pPr>
    </w:p>
    <w:p w:rsidR="000C6886" w:rsidRPr="003664FE" w:rsidRDefault="000C6886" w:rsidP="003664FE">
      <w:pPr>
        <w:pStyle w:val="Default"/>
        <w:numPr>
          <w:ilvl w:val="0"/>
          <w:numId w:val="8"/>
        </w:numPr>
        <w:ind w:left="1843" w:hanging="567"/>
        <w:rPr>
          <w:b/>
        </w:rPr>
      </w:pPr>
      <w:r w:rsidRPr="009B0A69">
        <w:rPr>
          <w:b/>
        </w:rPr>
        <w:t xml:space="preserve">Health Patient Registration System </w:t>
      </w:r>
      <w:r>
        <w:rPr>
          <w:b/>
        </w:rPr>
        <w:t>(</w:t>
      </w:r>
      <w:r w:rsidRPr="009B0A69">
        <w:rPr>
          <w:b/>
          <w:bCs/>
          <w:lang w:val="en-US"/>
        </w:rPr>
        <w:t>HPRS</w:t>
      </w:r>
      <w:r>
        <w:rPr>
          <w:b/>
          <w:bCs/>
          <w:lang w:val="en-US"/>
        </w:rPr>
        <w:t>)</w:t>
      </w:r>
    </w:p>
    <w:p w:rsidR="003664FE" w:rsidRPr="009B0A69" w:rsidRDefault="003664FE" w:rsidP="003664FE">
      <w:pPr>
        <w:pStyle w:val="Default"/>
        <w:ind w:left="1276"/>
        <w:rPr>
          <w:b/>
        </w:rPr>
      </w:pPr>
    </w:p>
    <w:p w:rsidR="000C6886" w:rsidRPr="003664FE" w:rsidRDefault="000C6886" w:rsidP="003664FE">
      <w:pPr>
        <w:pStyle w:val="ListParagraph"/>
        <w:numPr>
          <w:ilvl w:val="0"/>
          <w:numId w:val="15"/>
        </w:numPr>
        <w:tabs>
          <w:tab w:val="left" w:pos="779"/>
          <w:tab w:val="left" w:pos="2664"/>
          <w:tab w:val="left" w:pos="5875"/>
        </w:tabs>
        <w:spacing w:after="240"/>
        <w:ind w:left="2410" w:hanging="357"/>
        <w:contextualSpacing w:val="0"/>
        <w:rPr>
          <w:sz w:val="24"/>
        </w:rPr>
      </w:pPr>
      <w:r w:rsidRPr="003664FE">
        <w:rPr>
          <w:sz w:val="24"/>
        </w:rPr>
        <w:t>At the end of 2017/2018, 2968 PHC facilities were using HPRS and there were over 20 million (20 700 149) people registered on the system.</w:t>
      </w:r>
    </w:p>
    <w:p w:rsidR="000C6886" w:rsidRDefault="000C6886" w:rsidP="003664FE">
      <w:pPr>
        <w:pStyle w:val="ListParagraph"/>
        <w:numPr>
          <w:ilvl w:val="0"/>
          <w:numId w:val="15"/>
        </w:numPr>
        <w:tabs>
          <w:tab w:val="left" w:pos="779"/>
          <w:tab w:val="left" w:pos="2664"/>
          <w:tab w:val="left" w:pos="5875"/>
        </w:tabs>
        <w:spacing w:after="240"/>
        <w:ind w:left="2410" w:hanging="357"/>
        <w:contextualSpacing w:val="0"/>
        <w:rPr>
          <w:sz w:val="24"/>
        </w:rPr>
      </w:pPr>
      <w:r w:rsidRPr="002B14DE">
        <w:rPr>
          <w:sz w:val="24"/>
        </w:rPr>
        <w:t xml:space="preserve">Good communication and feedback loops are seen to have facilitated implementation success. </w:t>
      </w:r>
    </w:p>
    <w:p w:rsidR="000C6886" w:rsidRDefault="000C6886" w:rsidP="003664FE">
      <w:pPr>
        <w:pStyle w:val="ListParagraph"/>
        <w:numPr>
          <w:ilvl w:val="0"/>
          <w:numId w:val="15"/>
        </w:numPr>
        <w:tabs>
          <w:tab w:val="left" w:pos="779"/>
          <w:tab w:val="left" w:pos="2664"/>
          <w:tab w:val="left" w:pos="5875"/>
        </w:tabs>
        <w:spacing w:after="240"/>
        <w:ind w:left="2410" w:hanging="357"/>
        <w:contextualSpacing w:val="0"/>
        <w:rPr>
          <w:sz w:val="24"/>
        </w:rPr>
      </w:pPr>
      <w:r w:rsidRPr="002B14DE">
        <w:rPr>
          <w:sz w:val="24"/>
        </w:rPr>
        <w:t xml:space="preserve">The poor connectivity at some facilities and challenges with hardware have contributed to the challenges experienced during NHI phase 1 implementation. </w:t>
      </w:r>
    </w:p>
    <w:p w:rsidR="000C6886" w:rsidRPr="002B14DE" w:rsidRDefault="000C6886" w:rsidP="003664FE">
      <w:pPr>
        <w:pStyle w:val="ListParagraph"/>
        <w:numPr>
          <w:ilvl w:val="0"/>
          <w:numId w:val="15"/>
        </w:numPr>
        <w:tabs>
          <w:tab w:val="left" w:pos="779"/>
          <w:tab w:val="left" w:pos="2664"/>
          <w:tab w:val="left" w:pos="5875"/>
        </w:tabs>
        <w:spacing w:after="240"/>
        <w:ind w:left="2410" w:hanging="357"/>
        <w:contextualSpacing w:val="0"/>
        <w:rPr>
          <w:sz w:val="24"/>
        </w:rPr>
      </w:pPr>
      <w:r w:rsidRPr="002B14DE">
        <w:rPr>
          <w:sz w:val="24"/>
        </w:rPr>
        <w:t xml:space="preserve">The lack of human resources and lack of </w:t>
      </w:r>
      <w:r>
        <w:rPr>
          <w:sz w:val="24"/>
        </w:rPr>
        <w:t>capacity in some districts</w:t>
      </w:r>
      <w:r w:rsidRPr="002B14DE">
        <w:rPr>
          <w:sz w:val="24"/>
        </w:rPr>
        <w:t xml:space="preserve"> to implement affected the success of HPRS</w:t>
      </w:r>
    </w:p>
    <w:p w:rsidR="000C6886" w:rsidRDefault="000C6886" w:rsidP="000C6886">
      <w:pPr>
        <w:tabs>
          <w:tab w:val="left" w:pos="779"/>
          <w:tab w:val="left" w:pos="2664"/>
          <w:tab w:val="left" w:pos="5875"/>
        </w:tabs>
        <w:ind w:left="-5"/>
        <w:rPr>
          <w:sz w:val="24"/>
        </w:rPr>
      </w:pPr>
    </w:p>
    <w:p w:rsidR="000C6886" w:rsidRPr="009B0A69" w:rsidRDefault="000C6886" w:rsidP="003664FE">
      <w:pPr>
        <w:pStyle w:val="Default"/>
        <w:numPr>
          <w:ilvl w:val="0"/>
          <w:numId w:val="8"/>
        </w:numPr>
        <w:ind w:left="1701" w:hanging="425"/>
        <w:jc w:val="both"/>
        <w:rPr>
          <w:b/>
        </w:rPr>
      </w:pPr>
      <w:r w:rsidRPr="009B0A69">
        <w:rPr>
          <w:b/>
        </w:rPr>
        <w:t xml:space="preserve">Stock Visibility System </w:t>
      </w:r>
      <w:r w:rsidRPr="009B0A69">
        <w:rPr>
          <w:b/>
          <w:bCs/>
          <w:lang w:val="en-US"/>
        </w:rPr>
        <w:t xml:space="preserve">SVS </w:t>
      </w:r>
    </w:p>
    <w:p w:rsidR="000C6886" w:rsidRPr="009B0A69" w:rsidRDefault="000C6886" w:rsidP="000C6886">
      <w:pPr>
        <w:pStyle w:val="Default"/>
        <w:ind w:left="360"/>
        <w:jc w:val="both"/>
        <w:rPr>
          <w:sz w:val="20"/>
          <w:szCs w:val="20"/>
        </w:rPr>
      </w:pPr>
    </w:p>
    <w:p w:rsidR="000C6886" w:rsidRPr="003664FE" w:rsidRDefault="000C6886" w:rsidP="003664FE">
      <w:pPr>
        <w:pStyle w:val="ListParagraph"/>
        <w:numPr>
          <w:ilvl w:val="0"/>
          <w:numId w:val="16"/>
        </w:numPr>
        <w:spacing w:after="240"/>
        <w:ind w:left="2268" w:hanging="357"/>
        <w:contextualSpacing w:val="0"/>
        <w:jc w:val="both"/>
        <w:rPr>
          <w:sz w:val="24"/>
        </w:rPr>
      </w:pPr>
      <w:r w:rsidRPr="003664FE">
        <w:rPr>
          <w:sz w:val="24"/>
        </w:rPr>
        <w:t xml:space="preserve">At the end of 2017/2018, SVS was being implemented in 3167 clinics and community health centres (92% coverage). </w:t>
      </w:r>
    </w:p>
    <w:p w:rsidR="000C6886" w:rsidRDefault="000C6886" w:rsidP="003664FE">
      <w:pPr>
        <w:pStyle w:val="ListParagraph"/>
        <w:numPr>
          <w:ilvl w:val="0"/>
          <w:numId w:val="16"/>
        </w:numPr>
        <w:spacing w:after="240"/>
        <w:ind w:left="2268" w:hanging="357"/>
        <w:contextualSpacing w:val="0"/>
        <w:jc w:val="both"/>
        <w:rPr>
          <w:sz w:val="24"/>
        </w:rPr>
      </w:pPr>
      <w:r w:rsidRPr="001818D8">
        <w:rPr>
          <w:sz w:val="24"/>
        </w:rPr>
        <w:t xml:space="preserve">The successful training of available staff led to an in-depth understanding of the system at facility level. The introduction of SVS led to reduced stock outs and improved efficiency at facilities. </w:t>
      </w:r>
    </w:p>
    <w:p w:rsidR="000C6886" w:rsidRDefault="000C6886" w:rsidP="003664FE">
      <w:pPr>
        <w:pStyle w:val="ListParagraph"/>
        <w:numPr>
          <w:ilvl w:val="0"/>
          <w:numId w:val="16"/>
        </w:numPr>
        <w:spacing w:after="240"/>
        <w:ind w:left="2268" w:hanging="357"/>
        <w:contextualSpacing w:val="0"/>
        <w:jc w:val="both"/>
        <w:rPr>
          <w:sz w:val="24"/>
        </w:rPr>
      </w:pPr>
      <w:r w:rsidRPr="001818D8">
        <w:rPr>
          <w:sz w:val="24"/>
        </w:rPr>
        <w:t>The lack of reliable internet connectivity and hardware</w:t>
      </w:r>
      <w:r>
        <w:rPr>
          <w:sz w:val="24"/>
        </w:rPr>
        <w:t xml:space="preserve"> in some districts </w:t>
      </w:r>
      <w:r w:rsidRPr="001818D8">
        <w:rPr>
          <w:sz w:val="24"/>
        </w:rPr>
        <w:t xml:space="preserve">, impacted its success. </w:t>
      </w:r>
    </w:p>
    <w:p w:rsidR="000C6886" w:rsidRDefault="000C6886" w:rsidP="003664FE">
      <w:pPr>
        <w:pStyle w:val="ListParagraph"/>
        <w:numPr>
          <w:ilvl w:val="0"/>
          <w:numId w:val="16"/>
        </w:numPr>
        <w:spacing w:after="240"/>
        <w:ind w:left="2268" w:hanging="357"/>
        <w:contextualSpacing w:val="0"/>
        <w:jc w:val="both"/>
        <w:rPr>
          <w:sz w:val="24"/>
        </w:rPr>
      </w:pPr>
      <w:r w:rsidRPr="001818D8">
        <w:rPr>
          <w:sz w:val="24"/>
        </w:rPr>
        <w:t xml:space="preserve">The minimal number of available pharmacists and pharmacy assistants limited facilities ability to ensure the smooth running of the system. </w:t>
      </w:r>
    </w:p>
    <w:p w:rsidR="000C6886" w:rsidRPr="001818D8" w:rsidRDefault="000C6886" w:rsidP="003664FE">
      <w:pPr>
        <w:pStyle w:val="ListParagraph"/>
        <w:numPr>
          <w:ilvl w:val="0"/>
          <w:numId w:val="16"/>
        </w:numPr>
        <w:spacing w:after="240"/>
        <w:ind w:left="2268" w:hanging="357"/>
        <w:contextualSpacing w:val="0"/>
        <w:jc w:val="both"/>
        <w:rPr>
          <w:sz w:val="24"/>
        </w:rPr>
      </w:pPr>
      <w:r w:rsidRPr="001818D8">
        <w:rPr>
          <w:sz w:val="24"/>
        </w:rPr>
        <w:t>The sustainability of this intervention poses a challenge as implementation during NHI phase1 relied heavily on the support from external funders.</w:t>
      </w:r>
    </w:p>
    <w:p w:rsidR="000C6886" w:rsidRPr="001B07B2" w:rsidRDefault="000C6886" w:rsidP="000C6886">
      <w:pPr>
        <w:tabs>
          <w:tab w:val="left" w:pos="779"/>
          <w:tab w:val="left" w:pos="2664"/>
          <w:tab w:val="left" w:pos="5875"/>
        </w:tabs>
        <w:ind w:left="-5"/>
        <w:rPr>
          <w:sz w:val="24"/>
        </w:rPr>
      </w:pPr>
    </w:p>
    <w:p w:rsidR="000C6886" w:rsidRPr="003664FE" w:rsidRDefault="000C6886" w:rsidP="003664FE">
      <w:pPr>
        <w:pStyle w:val="ListParagraph"/>
        <w:numPr>
          <w:ilvl w:val="0"/>
          <w:numId w:val="8"/>
        </w:numPr>
        <w:ind w:left="1701" w:hanging="425"/>
        <w:contextualSpacing w:val="0"/>
        <w:jc w:val="both"/>
        <w:rPr>
          <w:b/>
          <w:sz w:val="24"/>
        </w:rPr>
      </w:pPr>
      <w:r w:rsidRPr="009B0A69">
        <w:rPr>
          <w:b/>
          <w:bCs/>
          <w:sz w:val="24"/>
          <w:lang w:val="en-US"/>
        </w:rPr>
        <w:t xml:space="preserve">Infrastructure </w:t>
      </w:r>
    </w:p>
    <w:p w:rsidR="003664FE" w:rsidRPr="003664FE" w:rsidRDefault="003664FE" w:rsidP="003664FE">
      <w:pPr>
        <w:jc w:val="both"/>
        <w:rPr>
          <w:b/>
          <w:sz w:val="24"/>
        </w:rPr>
      </w:pPr>
    </w:p>
    <w:p w:rsidR="000C6886" w:rsidRPr="003664FE" w:rsidRDefault="000C6886" w:rsidP="003664FE">
      <w:pPr>
        <w:pStyle w:val="ListParagraph"/>
        <w:numPr>
          <w:ilvl w:val="0"/>
          <w:numId w:val="17"/>
        </w:numPr>
        <w:spacing w:after="240"/>
        <w:ind w:left="2268" w:hanging="357"/>
        <w:contextualSpacing w:val="0"/>
        <w:jc w:val="both"/>
        <w:rPr>
          <w:sz w:val="24"/>
        </w:rPr>
      </w:pPr>
      <w:r w:rsidRPr="003664FE">
        <w:rPr>
          <w:sz w:val="24"/>
        </w:rPr>
        <w:t xml:space="preserve">Since 2013/2014, work in 139 of 140 identified CHCs and clinics has been completed through the NHI rehabilitation projects. </w:t>
      </w:r>
    </w:p>
    <w:p w:rsidR="000C6886" w:rsidRDefault="000C6886" w:rsidP="003664FE">
      <w:pPr>
        <w:pStyle w:val="ListParagraph"/>
        <w:numPr>
          <w:ilvl w:val="0"/>
          <w:numId w:val="17"/>
        </w:numPr>
        <w:spacing w:after="240"/>
        <w:ind w:left="2268" w:hanging="357"/>
        <w:contextualSpacing w:val="0"/>
        <w:jc w:val="both"/>
        <w:rPr>
          <w:sz w:val="24"/>
        </w:rPr>
      </w:pPr>
      <w:r w:rsidRPr="001B07B2">
        <w:rPr>
          <w:sz w:val="24"/>
        </w:rPr>
        <w:t>In 2017/2018 alone, 107 facilities were maintained, repaired and/or refurbished in NHI districts.</w:t>
      </w:r>
      <w:r>
        <w:rPr>
          <w:sz w:val="24"/>
        </w:rPr>
        <w:t xml:space="preserve"> </w:t>
      </w:r>
    </w:p>
    <w:p w:rsidR="000C6886" w:rsidRDefault="000C6886" w:rsidP="003664FE">
      <w:pPr>
        <w:pStyle w:val="ListParagraph"/>
        <w:numPr>
          <w:ilvl w:val="0"/>
          <w:numId w:val="17"/>
        </w:numPr>
        <w:spacing w:after="240"/>
        <w:ind w:left="2268" w:hanging="357"/>
        <w:contextualSpacing w:val="0"/>
        <w:jc w:val="both"/>
        <w:rPr>
          <w:sz w:val="24"/>
        </w:rPr>
      </w:pPr>
      <w:r w:rsidRPr="001B07B2">
        <w:rPr>
          <w:sz w:val="24"/>
        </w:rPr>
        <w:t>Where completed, patients perceived an improvement in the quality of care as a result.</w:t>
      </w:r>
      <w:r>
        <w:rPr>
          <w:sz w:val="24"/>
        </w:rPr>
        <w:t xml:space="preserve"> </w:t>
      </w:r>
      <w:r w:rsidRPr="001B07B2">
        <w:rPr>
          <w:sz w:val="24"/>
        </w:rPr>
        <w:t>Small infrastructure changes had a positive impact on the overall environment at facilities.</w:t>
      </w:r>
    </w:p>
    <w:p w:rsidR="000C6886" w:rsidRDefault="000C6886" w:rsidP="003664FE">
      <w:pPr>
        <w:pStyle w:val="ListParagraph"/>
        <w:numPr>
          <w:ilvl w:val="0"/>
          <w:numId w:val="17"/>
        </w:numPr>
        <w:spacing w:after="240"/>
        <w:ind w:left="2268" w:hanging="357"/>
        <w:contextualSpacing w:val="0"/>
        <w:jc w:val="both"/>
        <w:rPr>
          <w:sz w:val="24"/>
        </w:rPr>
      </w:pPr>
      <w:r w:rsidRPr="00621D91">
        <w:rPr>
          <w:sz w:val="24"/>
        </w:rPr>
        <w:t xml:space="preserve">Projects were rarely implemented or completed due to the lack of planning capacity to release the assigned funds.  </w:t>
      </w:r>
    </w:p>
    <w:p w:rsidR="000C6886" w:rsidRDefault="000C6886" w:rsidP="003664FE">
      <w:pPr>
        <w:pStyle w:val="ListParagraph"/>
        <w:numPr>
          <w:ilvl w:val="0"/>
          <w:numId w:val="17"/>
        </w:numPr>
        <w:spacing w:after="240"/>
        <w:ind w:left="2268" w:hanging="357"/>
        <w:contextualSpacing w:val="0"/>
        <w:jc w:val="both"/>
        <w:rPr>
          <w:sz w:val="24"/>
        </w:rPr>
      </w:pPr>
      <w:r w:rsidRPr="00621D91">
        <w:rPr>
          <w:sz w:val="24"/>
        </w:rPr>
        <w:t>Funds which were released were used mainly for new infrastructure projects</w:t>
      </w:r>
    </w:p>
    <w:p w:rsidR="000C6886" w:rsidRPr="00621D91" w:rsidRDefault="000C6886" w:rsidP="003664FE">
      <w:pPr>
        <w:pStyle w:val="ListParagraph"/>
        <w:numPr>
          <w:ilvl w:val="0"/>
          <w:numId w:val="17"/>
        </w:numPr>
        <w:spacing w:after="240"/>
        <w:ind w:left="2268" w:hanging="357"/>
        <w:contextualSpacing w:val="0"/>
        <w:jc w:val="both"/>
        <w:rPr>
          <w:sz w:val="24"/>
        </w:rPr>
      </w:pPr>
      <w:r>
        <w:rPr>
          <w:sz w:val="24"/>
        </w:rPr>
        <w:t xml:space="preserve">However, </w:t>
      </w:r>
      <w:r w:rsidRPr="00621D91">
        <w:rPr>
          <w:sz w:val="24"/>
        </w:rPr>
        <w:t>insufficient attention was paid to the maintenance of facilities, which is critical to both access and the provision of quality services and preventing unnecessary new-build costs due to deterioration because of a lack of basic maintenance.</w:t>
      </w:r>
    </w:p>
    <w:p w:rsidR="000C6886" w:rsidRDefault="000C6886" w:rsidP="000C6886">
      <w:pPr>
        <w:pStyle w:val="ListParagraph"/>
        <w:ind w:left="360"/>
        <w:contextualSpacing w:val="0"/>
        <w:jc w:val="both"/>
        <w:rPr>
          <w:sz w:val="24"/>
        </w:rPr>
      </w:pPr>
    </w:p>
    <w:p w:rsidR="000C6886" w:rsidRPr="003664FE" w:rsidRDefault="000C6886" w:rsidP="003664FE">
      <w:pPr>
        <w:pStyle w:val="ListParagraph"/>
        <w:numPr>
          <w:ilvl w:val="0"/>
          <w:numId w:val="8"/>
        </w:numPr>
        <w:ind w:left="1843" w:hanging="567"/>
        <w:contextualSpacing w:val="0"/>
        <w:jc w:val="both"/>
        <w:rPr>
          <w:b/>
          <w:sz w:val="24"/>
        </w:rPr>
      </w:pPr>
      <w:r w:rsidRPr="009B0A69">
        <w:rPr>
          <w:b/>
          <w:bCs/>
          <w:sz w:val="24"/>
          <w:lang w:val="en-US"/>
        </w:rPr>
        <w:t xml:space="preserve">Human Resources for Health </w:t>
      </w:r>
    </w:p>
    <w:p w:rsidR="003664FE" w:rsidRPr="003664FE" w:rsidRDefault="003664FE" w:rsidP="003664FE">
      <w:pPr>
        <w:jc w:val="both"/>
        <w:rPr>
          <w:b/>
          <w:sz w:val="24"/>
        </w:rPr>
      </w:pPr>
    </w:p>
    <w:p w:rsidR="000C6886" w:rsidRDefault="000C6886" w:rsidP="003664FE">
      <w:pPr>
        <w:pStyle w:val="Default"/>
        <w:numPr>
          <w:ilvl w:val="0"/>
          <w:numId w:val="18"/>
        </w:numPr>
        <w:spacing w:after="240"/>
        <w:ind w:left="2269" w:hanging="284"/>
        <w:jc w:val="both"/>
      </w:pPr>
      <w:r w:rsidRPr="009B0A69">
        <w:t xml:space="preserve">The introduction of </w:t>
      </w:r>
      <w:r w:rsidRPr="009B0A69">
        <w:rPr>
          <w:szCs w:val="20"/>
        </w:rPr>
        <w:t>Workload Indicators of Staffing Need</w:t>
      </w:r>
      <w:r>
        <w:rPr>
          <w:sz w:val="20"/>
          <w:szCs w:val="20"/>
        </w:rPr>
        <w:t xml:space="preserve"> (</w:t>
      </w:r>
      <w:r w:rsidRPr="009B0A69">
        <w:t>WISN</w:t>
      </w:r>
      <w:r>
        <w:t>)</w:t>
      </w:r>
      <w:r w:rsidRPr="009B0A69">
        <w:t xml:space="preserve"> provided a standardised, evidence-based staffing needs assessment at facility level.</w:t>
      </w:r>
      <w:r>
        <w:t xml:space="preserve"> </w:t>
      </w:r>
      <w:r w:rsidRPr="001B07B2">
        <w:t>These assessments were implemented widely across the pilot districts</w:t>
      </w:r>
      <w:r>
        <w:t xml:space="preserve">. </w:t>
      </w:r>
    </w:p>
    <w:p w:rsidR="000C6886" w:rsidRDefault="000C6886" w:rsidP="003664FE">
      <w:pPr>
        <w:pStyle w:val="Default"/>
        <w:numPr>
          <w:ilvl w:val="0"/>
          <w:numId w:val="18"/>
        </w:numPr>
        <w:spacing w:after="240"/>
        <w:ind w:left="2269" w:hanging="284"/>
        <w:jc w:val="both"/>
      </w:pPr>
      <w:r w:rsidRPr="001B07B2">
        <w:t xml:space="preserve">The resource constrained environment meant that hiring of staff had been frozen and as a result the WISN findings were not always implementable and caused further frustration among facility managers who had done the assessment. </w:t>
      </w:r>
    </w:p>
    <w:p w:rsidR="000C6886" w:rsidRDefault="000C6886" w:rsidP="000C6886">
      <w:pPr>
        <w:pStyle w:val="Default"/>
        <w:jc w:val="both"/>
      </w:pPr>
    </w:p>
    <w:p w:rsidR="00E238C2" w:rsidRPr="008526C9" w:rsidRDefault="00E238C2" w:rsidP="000C6886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CD" w:rsidRDefault="005826CD">
      <w:r>
        <w:separator/>
      </w:r>
    </w:p>
  </w:endnote>
  <w:endnote w:type="continuationSeparator" w:id="0">
    <w:p w:rsidR="005826CD" w:rsidRDefault="005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664F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CD" w:rsidRDefault="005826CD">
      <w:r>
        <w:separator/>
      </w:r>
    </w:p>
  </w:footnote>
  <w:footnote w:type="continuationSeparator" w:id="0">
    <w:p w:rsidR="005826CD" w:rsidRDefault="0058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94D"/>
    <w:multiLevelType w:val="hybridMultilevel"/>
    <w:tmpl w:val="0A2204A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BA0"/>
    <w:multiLevelType w:val="hybridMultilevel"/>
    <w:tmpl w:val="2E7006FC"/>
    <w:lvl w:ilvl="0" w:tplc="C80AA548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5" w:hanging="360"/>
      </w:pPr>
    </w:lvl>
    <w:lvl w:ilvl="2" w:tplc="1C09001B" w:tentative="1">
      <w:start w:val="1"/>
      <w:numFmt w:val="lowerRoman"/>
      <w:lvlText w:val="%3."/>
      <w:lvlJc w:val="right"/>
      <w:pPr>
        <w:ind w:left="3225" w:hanging="180"/>
      </w:pPr>
    </w:lvl>
    <w:lvl w:ilvl="3" w:tplc="1C09000F" w:tentative="1">
      <w:start w:val="1"/>
      <w:numFmt w:val="decimal"/>
      <w:lvlText w:val="%4."/>
      <w:lvlJc w:val="left"/>
      <w:pPr>
        <w:ind w:left="3945" w:hanging="360"/>
      </w:pPr>
    </w:lvl>
    <w:lvl w:ilvl="4" w:tplc="1C090019" w:tentative="1">
      <w:start w:val="1"/>
      <w:numFmt w:val="lowerLetter"/>
      <w:lvlText w:val="%5."/>
      <w:lvlJc w:val="left"/>
      <w:pPr>
        <w:ind w:left="4665" w:hanging="360"/>
      </w:pPr>
    </w:lvl>
    <w:lvl w:ilvl="5" w:tplc="1C09001B" w:tentative="1">
      <w:start w:val="1"/>
      <w:numFmt w:val="lowerRoman"/>
      <w:lvlText w:val="%6."/>
      <w:lvlJc w:val="right"/>
      <w:pPr>
        <w:ind w:left="5385" w:hanging="180"/>
      </w:pPr>
    </w:lvl>
    <w:lvl w:ilvl="6" w:tplc="1C09000F" w:tentative="1">
      <w:start w:val="1"/>
      <w:numFmt w:val="decimal"/>
      <w:lvlText w:val="%7."/>
      <w:lvlJc w:val="left"/>
      <w:pPr>
        <w:ind w:left="6105" w:hanging="360"/>
      </w:pPr>
    </w:lvl>
    <w:lvl w:ilvl="7" w:tplc="1C090019" w:tentative="1">
      <w:start w:val="1"/>
      <w:numFmt w:val="lowerLetter"/>
      <w:lvlText w:val="%8."/>
      <w:lvlJc w:val="left"/>
      <w:pPr>
        <w:ind w:left="6825" w:hanging="360"/>
      </w:pPr>
    </w:lvl>
    <w:lvl w:ilvl="8" w:tplc="1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0DF7"/>
    <w:multiLevelType w:val="hybridMultilevel"/>
    <w:tmpl w:val="CDA61132"/>
    <w:lvl w:ilvl="0" w:tplc="FFF85B5C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79B"/>
    <w:multiLevelType w:val="hybridMultilevel"/>
    <w:tmpl w:val="33780E98"/>
    <w:lvl w:ilvl="0" w:tplc="2DD0DD0E">
      <w:start w:val="1"/>
      <w:numFmt w:val="lowerRoman"/>
      <w:lvlText w:val="(%1)"/>
      <w:lvlJc w:val="right"/>
      <w:pPr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05C7E"/>
    <w:multiLevelType w:val="hybridMultilevel"/>
    <w:tmpl w:val="5BC86966"/>
    <w:lvl w:ilvl="0" w:tplc="D9D2EC8A">
      <w:start w:val="1"/>
      <w:numFmt w:val="lowerRoman"/>
      <w:lvlText w:val="(%1)"/>
      <w:lvlJc w:val="righ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81EC6"/>
    <w:multiLevelType w:val="hybridMultilevel"/>
    <w:tmpl w:val="DCBC956A"/>
    <w:lvl w:ilvl="0" w:tplc="810C3C2E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406B3"/>
    <w:multiLevelType w:val="hybridMultilevel"/>
    <w:tmpl w:val="49E2BFCA"/>
    <w:lvl w:ilvl="0" w:tplc="6E1A600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14A4F48"/>
    <w:multiLevelType w:val="hybridMultilevel"/>
    <w:tmpl w:val="D38E78CE"/>
    <w:lvl w:ilvl="0" w:tplc="FCB08D9C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30CE"/>
    <w:multiLevelType w:val="hybridMultilevel"/>
    <w:tmpl w:val="1ADA5C24"/>
    <w:lvl w:ilvl="0" w:tplc="28D61EC8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399"/>
    <w:multiLevelType w:val="hybridMultilevel"/>
    <w:tmpl w:val="D086309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B209F"/>
    <w:multiLevelType w:val="hybridMultilevel"/>
    <w:tmpl w:val="A26229A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7732F3"/>
    <w:multiLevelType w:val="hybridMultilevel"/>
    <w:tmpl w:val="A588DB82"/>
    <w:lvl w:ilvl="0" w:tplc="B1849EDA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2953F1"/>
    <w:multiLevelType w:val="hybridMultilevel"/>
    <w:tmpl w:val="61D6D408"/>
    <w:lvl w:ilvl="0" w:tplc="C3B20E18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F3EDB"/>
    <w:multiLevelType w:val="hybridMultilevel"/>
    <w:tmpl w:val="2C088412"/>
    <w:lvl w:ilvl="0" w:tplc="2DBE4034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C7A75"/>
    <w:multiLevelType w:val="hybridMultilevel"/>
    <w:tmpl w:val="A1245B24"/>
    <w:lvl w:ilvl="0" w:tplc="F760D9DE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9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12"/>
  </w:num>
  <w:num w:numId="17">
    <w:abstractNumId w:val="3"/>
  </w:num>
  <w:num w:numId="18">
    <w:abstractNumId w:val="8"/>
  </w:num>
  <w:num w:numId="19">
    <w:abstractNumId w:val="10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6886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959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2C6C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4AC1"/>
    <w:rsid w:val="003261BA"/>
    <w:rsid w:val="00330A1B"/>
    <w:rsid w:val="0033602C"/>
    <w:rsid w:val="0034705D"/>
    <w:rsid w:val="003548B4"/>
    <w:rsid w:val="00355BB7"/>
    <w:rsid w:val="00357A10"/>
    <w:rsid w:val="00360D5F"/>
    <w:rsid w:val="003664FE"/>
    <w:rsid w:val="00366B08"/>
    <w:rsid w:val="00366E06"/>
    <w:rsid w:val="0036751E"/>
    <w:rsid w:val="00371538"/>
    <w:rsid w:val="003715DB"/>
    <w:rsid w:val="00382D92"/>
    <w:rsid w:val="003879CB"/>
    <w:rsid w:val="0039090F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26CD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0BA4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A7FB1"/>
    <w:rsid w:val="006B1A27"/>
    <w:rsid w:val="006B544B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8751E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C4446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63EF5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46B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9D8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1144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11B8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EC83A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546B"/>
    <w:rPr>
      <w:rFonts w:ascii="Arial" w:hAnsi="Arial" w:cs="Arial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D546B"/>
    <w:pPr>
      <w:spacing w:after="200" w:line="360" w:lineRule="auto"/>
      <w:jc w:val="center"/>
    </w:pPr>
    <w:rPr>
      <w:rFonts w:eastAsiaTheme="minorHAnsi" w:cstheme="minorBidi"/>
      <w:iCs/>
      <w:szCs w:val="18"/>
      <w:lang w:val="en-ZA"/>
    </w:rPr>
  </w:style>
  <w:style w:type="table" w:customStyle="1" w:styleId="GridTable5Dark-Accent31">
    <w:name w:val="Grid Table 5 Dark - Accent 31"/>
    <w:basedOn w:val="TableNormal"/>
    <w:uiPriority w:val="50"/>
    <w:rsid w:val="00AD546B"/>
    <w:pPr>
      <w:ind w:left="170" w:hanging="17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Default">
    <w:name w:val="Default"/>
    <w:rsid w:val="000C68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2019-11-07T11:56:00Z</cp:lastPrinted>
  <dcterms:created xsi:type="dcterms:W3CDTF">2019-12-04T10:36:00Z</dcterms:created>
  <dcterms:modified xsi:type="dcterms:W3CDTF">2019-12-04T19:58:00Z</dcterms:modified>
</cp:coreProperties>
</file>