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A36" w:rsidRPr="00F3018A" w:rsidRDefault="00B17A5B" w:rsidP="006C4A36">
      <w:pPr>
        <w:pStyle w:val="Pa3"/>
        <w:jc w:val="center"/>
        <w:rPr>
          <w:rStyle w:val="A0"/>
          <w:rFonts w:ascii="Times New Roman" w:hAnsi="Times New Roman" w:cs="Times New Roman"/>
          <w:b w:val="0"/>
          <w:szCs w:val="20"/>
        </w:rPr>
      </w:pPr>
      <w:bookmarkStart w:id="0" w:name="OLE_LINK1"/>
      <w:r w:rsidRPr="00F3018A">
        <w:rPr>
          <w:noProof/>
          <w:lang w:val="en-ZA" w:eastAsia="en-ZA"/>
        </w:rPr>
        <w:drawing>
          <wp:anchor distT="0" distB="0" distL="114300" distR="114300" simplePos="0" relativeHeight="251658240" behindDoc="0" locked="0" layoutInCell="1" allowOverlap="1" wp14:anchorId="7976CA4D" wp14:editId="5D3BE641">
            <wp:simplePos x="0" y="0"/>
            <wp:positionH relativeFrom="column">
              <wp:posOffset>2543175</wp:posOffset>
            </wp:positionH>
            <wp:positionV relativeFrom="paragraph">
              <wp:posOffset>0</wp:posOffset>
            </wp:positionV>
            <wp:extent cx="8001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A36" w:rsidRPr="00F3018A" w:rsidRDefault="006C4A36" w:rsidP="006C4A36">
      <w:pPr>
        <w:pStyle w:val="Pa3"/>
        <w:jc w:val="center"/>
        <w:rPr>
          <w:rStyle w:val="A0"/>
          <w:rFonts w:ascii="Times New Roman" w:hAnsi="Times New Roman" w:cs="Times New Roman"/>
          <w:b w:val="0"/>
          <w:szCs w:val="20"/>
        </w:rPr>
      </w:pPr>
    </w:p>
    <w:p w:rsidR="006C4A36" w:rsidRPr="00F3018A" w:rsidRDefault="006C4A36" w:rsidP="006C4A36">
      <w:pPr>
        <w:rPr>
          <w:lang w:val="en-US" w:eastAsia="en-US"/>
        </w:rPr>
      </w:pPr>
    </w:p>
    <w:p w:rsidR="006C4A36" w:rsidRPr="00F3018A" w:rsidRDefault="006C4A36" w:rsidP="006C4A36">
      <w:pPr>
        <w:rPr>
          <w:lang w:val="en-US" w:eastAsia="en-US"/>
        </w:rPr>
      </w:pPr>
    </w:p>
    <w:p w:rsidR="006C4A36" w:rsidRPr="00F3018A" w:rsidRDefault="006C4A36" w:rsidP="006C4A36">
      <w:pPr>
        <w:rPr>
          <w:lang w:val="en-US" w:eastAsia="en-US"/>
        </w:rPr>
      </w:pPr>
    </w:p>
    <w:bookmarkEnd w:id="0"/>
    <w:p w:rsidR="00821B4D" w:rsidRPr="00F3018A" w:rsidRDefault="00821B4D" w:rsidP="00685CBF">
      <w:pPr>
        <w:pStyle w:val="Pa3"/>
        <w:spacing w:line="360" w:lineRule="auto"/>
        <w:jc w:val="center"/>
        <w:rPr>
          <w:b/>
          <w:bCs/>
        </w:rPr>
      </w:pPr>
    </w:p>
    <w:p w:rsidR="00685CBF" w:rsidRPr="00F3018A" w:rsidRDefault="00685CBF" w:rsidP="00C971F5">
      <w:pPr>
        <w:pStyle w:val="Pa3"/>
        <w:spacing w:line="360" w:lineRule="auto"/>
        <w:jc w:val="center"/>
        <w:rPr>
          <w:b/>
          <w:bCs/>
          <w:color w:val="000000"/>
        </w:rPr>
      </w:pPr>
      <w:r w:rsidRPr="00F3018A">
        <w:rPr>
          <w:b/>
          <w:bCs/>
        </w:rPr>
        <w:t>THE SUPREME COURT OF APPEAL OF SOUTH AFRICA</w:t>
      </w:r>
    </w:p>
    <w:p w:rsidR="00685CBF" w:rsidRPr="00F3018A" w:rsidRDefault="00685CBF" w:rsidP="00C971F5">
      <w:pPr>
        <w:spacing w:line="360" w:lineRule="auto"/>
        <w:jc w:val="center"/>
        <w:rPr>
          <w:b/>
          <w:bCs/>
        </w:rPr>
      </w:pPr>
      <w:r w:rsidRPr="00F3018A">
        <w:rPr>
          <w:b/>
          <w:bCs/>
        </w:rPr>
        <w:t>JUDGMENT</w:t>
      </w:r>
    </w:p>
    <w:p w:rsidR="00685CBF" w:rsidRPr="00F3018A" w:rsidRDefault="00D933AC" w:rsidP="00C971F5">
      <w:pPr>
        <w:spacing w:line="360" w:lineRule="auto"/>
        <w:jc w:val="right"/>
        <w:rPr>
          <w:b/>
        </w:rPr>
      </w:pPr>
      <w:r>
        <w:rPr>
          <w:b/>
        </w:rPr>
        <w:t>Reportable</w:t>
      </w:r>
    </w:p>
    <w:p w:rsidR="00685CBF" w:rsidRPr="00F3018A" w:rsidRDefault="00685CBF" w:rsidP="00C971F5">
      <w:pPr>
        <w:spacing w:line="360" w:lineRule="auto"/>
        <w:jc w:val="right"/>
      </w:pPr>
      <w:r w:rsidRPr="00F3018A">
        <w:t xml:space="preserve">Case no: </w:t>
      </w:r>
      <w:r w:rsidR="002362D0" w:rsidRPr="00F3018A">
        <w:t>686</w:t>
      </w:r>
      <w:r w:rsidR="004E5D9B" w:rsidRPr="00F3018A">
        <w:t>/2018</w:t>
      </w:r>
    </w:p>
    <w:p w:rsidR="00685CBF" w:rsidRPr="00F3018A" w:rsidRDefault="00685CBF" w:rsidP="00A722C4">
      <w:pPr>
        <w:spacing w:line="360" w:lineRule="auto"/>
      </w:pPr>
      <w:r w:rsidRPr="00F3018A">
        <w:t>In the matter between:</w:t>
      </w:r>
    </w:p>
    <w:p w:rsidR="00685CBF" w:rsidRPr="00F3018A" w:rsidRDefault="00685CBF" w:rsidP="00A722C4">
      <w:pPr>
        <w:spacing w:line="360" w:lineRule="auto"/>
      </w:pPr>
    </w:p>
    <w:p w:rsidR="0063750D" w:rsidRPr="00A722C4" w:rsidRDefault="002362D0" w:rsidP="00A722C4">
      <w:pPr>
        <w:tabs>
          <w:tab w:val="right" w:pos="9480"/>
        </w:tabs>
        <w:spacing w:line="360" w:lineRule="auto"/>
        <w:rPr>
          <w:b/>
        </w:rPr>
      </w:pPr>
      <w:r w:rsidRPr="00A722C4">
        <w:rPr>
          <w:b/>
        </w:rPr>
        <w:t>JONATHAN DUBULA QWELANE</w:t>
      </w:r>
      <w:r w:rsidR="0063750D" w:rsidRPr="00A722C4">
        <w:rPr>
          <w:b/>
        </w:rPr>
        <w:tab/>
        <w:t>APPELLANT</w:t>
      </w:r>
    </w:p>
    <w:p w:rsidR="00CC5DD0" w:rsidRPr="00A722C4" w:rsidRDefault="00CC5DD0" w:rsidP="00A722C4">
      <w:pPr>
        <w:tabs>
          <w:tab w:val="right" w:pos="9480"/>
        </w:tabs>
        <w:spacing w:line="360" w:lineRule="auto"/>
        <w:rPr>
          <w:b/>
        </w:rPr>
      </w:pPr>
    </w:p>
    <w:p w:rsidR="00685CBF" w:rsidRPr="00A722C4" w:rsidRDefault="00685CBF" w:rsidP="00A722C4">
      <w:pPr>
        <w:spacing w:line="360" w:lineRule="auto"/>
      </w:pPr>
      <w:r w:rsidRPr="00A722C4">
        <w:t>and</w:t>
      </w:r>
    </w:p>
    <w:p w:rsidR="00685CBF" w:rsidRPr="00A722C4" w:rsidRDefault="00685CBF" w:rsidP="00A722C4">
      <w:pPr>
        <w:tabs>
          <w:tab w:val="left" w:pos="7320"/>
        </w:tabs>
        <w:spacing w:line="360" w:lineRule="auto"/>
      </w:pPr>
    </w:p>
    <w:p w:rsidR="003906B9" w:rsidRPr="00A722C4" w:rsidRDefault="002362D0" w:rsidP="00A722C4">
      <w:pPr>
        <w:tabs>
          <w:tab w:val="left" w:pos="720"/>
          <w:tab w:val="right" w:pos="9498"/>
        </w:tabs>
        <w:spacing w:line="360" w:lineRule="auto"/>
        <w:rPr>
          <w:b/>
        </w:rPr>
      </w:pPr>
      <w:r w:rsidRPr="00A722C4">
        <w:rPr>
          <w:b/>
        </w:rPr>
        <w:t>SOUTH AFRICAN HUMAN RIGHTS COMMISSION</w:t>
      </w:r>
      <w:r w:rsidR="0063750D" w:rsidRPr="00A722C4">
        <w:rPr>
          <w:b/>
        </w:rPr>
        <w:tab/>
        <w:t>FIRST RESPONDENT</w:t>
      </w:r>
    </w:p>
    <w:p w:rsidR="0063750D" w:rsidRPr="00A722C4" w:rsidRDefault="002362D0" w:rsidP="00A722C4">
      <w:pPr>
        <w:tabs>
          <w:tab w:val="left" w:pos="720"/>
          <w:tab w:val="right" w:pos="9498"/>
        </w:tabs>
        <w:spacing w:line="360" w:lineRule="auto"/>
        <w:rPr>
          <w:b/>
        </w:rPr>
      </w:pPr>
      <w:r w:rsidRPr="00A722C4">
        <w:rPr>
          <w:b/>
        </w:rPr>
        <w:t>MINISTER OF JUSTICE &amp; CORRECTIONAL SERVICES</w:t>
      </w:r>
      <w:r w:rsidR="0063750D" w:rsidRPr="00A722C4">
        <w:rPr>
          <w:b/>
        </w:rPr>
        <w:tab/>
        <w:t>SECOND RESPONDENT</w:t>
      </w:r>
    </w:p>
    <w:p w:rsidR="002362D0" w:rsidRPr="00A722C4" w:rsidRDefault="002362D0" w:rsidP="00A722C4">
      <w:pPr>
        <w:tabs>
          <w:tab w:val="left" w:pos="3440"/>
        </w:tabs>
        <w:spacing w:line="360" w:lineRule="auto"/>
        <w:rPr>
          <w:b/>
        </w:rPr>
      </w:pPr>
    </w:p>
    <w:p w:rsidR="002362D0" w:rsidRPr="00A722C4" w:rsidRDefault="002362D0" w:rsidP="00A722C4">
      <w:pPr>
        <w:tabs>
          <w:tab w:val="left" w:pos="3440"/>
        </w:tabs>
        <w:spacing w:line="360" w:lineRule="auto"/>
      </w:pPr>
      <w:r w:rsidRPr="00A722C4">
        <w:t>and</w:t>
      </w:r>
    </w:p>
    <w:p w:rsidR="002362D0" w:rsidRPr="00A722C4" w:rsidRDefault="002362D0" w:rsidP="00A722C4">
      <w:pPr>
        <w:tabs>
          <w:tab w:val="left" w:pos="3440"/>
        </w:tabs>
        <w:spacing w:line="360" w:lineRule="auto"/>
      </w:pPr>
    </w:p>
    <w:p w:rsidR="002362D0" w:rsidRPr="00A722C4" w:rsidRDefault="002362D0" w:rsidP="00A722C4">
      <w:pPr>
        <w:tabs>
          <w:tab w:val="left" w:pos="3440"/>
        </w:tabs>
        <w:spacing w:line="360" w:lineRule="auto"/>
        <w:rPr>
          <w:b/>
          <w:i/>
        </w:rPr>
      </w:pPr>
      <w:r w:rsidRPr="00A722C4">
        <w:rPr>
          <w:b/>
        </w:rPr>
        <w:t>FREEDOM OF EXPRESSION INSITUTE</w:t>
      </w:r>
      <w:r w:rsidRPr="00A722C4">
        <w:rPr>
          <w:b/>
        </w:rPr>
        <w:tab/>
      </w:r>
      <w:r w:rsidRPr="00A722C4">
        <w:rPr>
          <w:b/>
        </w:rPr>
        <w:tab/>
      </w:r>
      <w:r w:rsidRPr="00A722C4">
        <w:rPr>
          <w:b/>
        </w:rPr>
        <w:tab/>
        <w:t xml:space="preserve">   FIRST </w:t>
      </w:r>
      <w:r w:rsidRPr="00A722C4">
        <w:rPr>
          <w:b/>
          <w:i/>
        </w:rPr>
        <w:t>AMICUS CURIAE</w:t>
      </w:r>
    </w:p>
    <w:p w:rsidR="002362D0" w:rsidRPr="00A722C4" w:rsidRDefault="002362D0" w:rsidP="00A722C4">
      <w:pPr>
        <w:tabs>
          <w:tab w:val="left" w:pos="3440"/>
        </w:tabs>
        <w:spacing w:line="360" w:lineRule="auto"/>
        <w:rPr>
          <w:b/>
        </w:rPr>
      </w:pPr>
      <w:r w:rsidRPr="00A722C4">
        <w:rPr>
          <w:b/>
        </w:rPr>
        <w:t>PSYCHOLOGICAL SOCIETY OF SOUTH AFRICA</w:t>
      </w:r>
      <w:r w:rsidRPr="00A722C4">
        <w:rPr>
          <w:b/>
        </w:rPr>
        <w:tab/>
        <w:t xml:space="preserve">         SECOND </w:t>
      </w:r>
      <w:r w:rsidRPr="00A722C4">
        <w:rPr>
          <w:b/>
          <w:i/>
        </w:rPr>
        <w:t>AMICUS CURIAE</w:t>
      </w:r>
    </w:p>
    <w:p w:rsidR="00685CBF" w:rsidRPr="00A722C4" w:rsidRDefault="002362D0" w:rsidP="00A722C4">
      <w:pPr>
        <w:tabs>
          <w:tab w:val="left" w:pos="3440"/>
        </w:tabs>
        <w:spacing w:line="360" w:lineRule="auto"/>
        <w:rPr>
          <w:b/>
        </w:rPr>
      </w:pPr>
      <w:r w:rsidRPr="00A722C4">
        <w:rPr>
          <w:b/>
        </w:rPr>
        <w:tab/>
      </w:r>
    </w:p>
    <w:p w:rsidR="00685CBF" w:rsidRPr="00A722C4" w:rsidRDefault="002362D0" w:rsidP="00A722C4">
      <w:pPr>
        <w:spacing w:line="360" w:lineRule="auto"/>
        <w:ind w:right="-437"/>
        <w:rPr>
          <w:bCs/>
        </w:rPr>
      </w:pPr>
      <w:r w:rsidRPr="00A722C4">
        <w:rPr>
          <w:b/>
          <w:bCs/>
        </w:rPr>
        <w:t xml:space="preserve">Neutral citation: </w:t>
      </w:r>
      <w:bookmarkStart w:id="1" w:name="_GoBack"/>
      <w:r w:rsidRPr="00A722C4">
        <w:rPr>
          <w:bCs/>
          <w:i/>
        </w:rPr>
        <w:t xml:space="preserve">Qwelane v SAHRC &amp; others </w:t>
      </w:r>
      <w:bookmarkEnd w:id="1"/>
      <w:r w:rsidR="00685CBF" w:rsidRPr="00A722C4">
        <w:rPr>
          <w:bCs/>
        </w:rPr>
        <w:t>(</w:t>
      </w:r>
      <w:r w:rsidRPr="00A722C4">
        <w:rPr>
          <w:bCs/>
        </w:rPr>
        <w:t>686</w:t>
      </w:r>
      <w:r w:rsidR="004E5D9B" w:rsidRPr="00A722C4">
        <w:rPr>
          <w:bCs/>
        </w:rPr>
        <w:t>/2018</w:t>
      </w:r>
      <w:r w:rsidR="00685CBF" w:rsidRPr="00A722C4">
        <w:rPr>
          <w:bCs/>
        </w:rPr>
        <w:t>) [201</w:t>
      </w:r>
      <w:r w:rsidR="004E5D9B" w:rsidRPr="00A722C4">
        <w:rPr>
          <w:bCs/>
        </w:rPr>
        <w:t>9</w:t>
      </w:r>
      <w:r w:rsidR="00685CBF" w:rsidRPr="00A722C4">
        <w:rPr>
          <w:bCs/>
        </w:rPr>
        <w:t xml:space="preserve">] ZASCA </w:t>
      </w:r>
      <w:r w:rsidR="00D10723">
        <w:rPr>
          <w:bCs/>
        </w:rPr>
        <w:t>167</w:t>
      </w:r>
      <w:r w:rsidR="00685CBF" w:rsidRPr="00A722C4">
        <w:rPr>
          <w:bCs/>
        </w:rPr>
        <w:t xml:space="preserve"> (</w:t>
      </w:r>
      <w:r w:rsidR="00BB57E1" w:rsidRPr="00A722C4">
        <w:rPr>
          <w:bCs/>
        </w:rPr>
        <w:t xml:space="preserve">29 November </w:t>
      </w:r>
      <w:r w:rsidR="00685CBF" w:rsidRPr="00A722C4">
        <w:rPr>
          <w:bCs/>
        </w:rPr>
        <w:t>201</w:t>
      </w:r>
      <w:r w:rsidR="004E5D9B" w:rsidRPr="00A722C4">
        <w:rPr>
          <w:bCs/>
        </w:rPr>
        <w:t>9</w:t>
      </w:r>
      <w:r w:rsidR="00685CBF" w:rsidRPr="00A722C4">
        <w:rPr>
          <w:bCs/>
        </w:rPr>
        <w:t>)</w:t>
      </w:r>
    </w:p>
    <w:p w:rsidR="00685CBF" w:rsidRPr="00A722C4" w:rsidRDefault="004E5D9B" w:rsidP="00A722C4">
      <w:pPr>
        <w:spacing w:line="360" w:lineRule="auto"/>
        <w:ind w:left="1456" w:right="-367" w:hanging="1442"/>
        <w:rPr>
          <w:bCs/>
        </w:rPr>
      </w:pPr>
      <w:r w:rsidRPr="00A722C4">
        <w:rPr>
          <w:b/>
          <w:bCs/>
        </w:rPr>
        <w:t>Coram</w:t>
      </w:r>
      <w:r w:rsidR="00685CBF" w:rsidRPr="00A722C4">
        <w:rPr>
          <w:b/>
          <w:bCs/>
        </w:rPr>
        <w:t>:</w:t>
      </w:r>
      <w:r w:rsidR="00685CBF" w:rsidRPr="00A722C4">
        <w:rPr>
          <w:b/>
          <w:bCs/>
        </w:rPr>
        <w:tab/>
      </w:r>
      <w:r w:rsidR="009512A2" w:rsidRPr="00A722C4">
        <w:rPr>
          <w:bCs/>
        </w:rPr>
        <w:t>Navsa</w:t>
      </w:r>
      <w:r w:rsidR="002362D0" w:rsidRPr="00A722C4">
        <w:rPr>
          <w:bCs/>
        </w:rPr>
        <w:t>, Wallis, Dambuza and Van der Merwe JJA and Dolamo AJA</w:t>
      </w:r>
    </w:p>
    <w:p w:rsidR="00685CBF" w:rsidRPr="00A722C4" w:rsidRDefault="00685CBF" w:rsidP="00A722C4">
      <w:pPr>
        <w:spacing w:line="360" w:lineRule="auto"/>
        <w:rPr>
          <w:bCs/>
        </w:rPr>
      </w:pPr>
      <w:r w:rsidRPr="00A722C4">
        <w:rPr>
          <w:b/>
          <w:bCs/>
        </w:rPr>
        <w:t>Heard:</w:t>
      </w:r>
      <w:r w:rsidRPr="00A722C4">
        <w:rPr>
          <w:b/>
          <w:bCs/>
        </w:rPr>
        <w:tab/>
      </w:r>
      <w:r w:rsidR="002362D0" w:rsidRPr="00A722C4">
        <w:rPr>
          <w:bCs/>
        </w:rPr>
        <w:t>19 August</w:t>
      </w:r>
      <w:r w:rsidR="009512A2" w:rsidRPr="00A722C4">
        <w:rPr>
          <w:bCs/>
        </w:rPr>
        <w:t xml:space="preserve"> </w:t>
      </w:r>
      <w:r w:rsidR="004E5D9B" w:rsidRPr="00A722C4">
        <w:rPr>
          <w:bCs/>
        </w:rPr>
        <w:t>2019</w:t>
      </w:r>
    </w:p>
    <w:p w:rsidR="00685CBF" w:rsidRPr="00A722C4" w:rsidRDefault="00685CBF" w:rsidP="00A722C4">
      <w:pPr>
        <w:spacing w:line="360" w:lineRule="auto"/>
        <w:rPr>
          <w:bCs/>
        </w:rPr>
      </w:pPr>
      <w:r w:rsidRPr="00A722C4">
        <w:rPr>
          <w:b/>
          <w:bCs/>
        </w:rPr>
        <w:t>Delivered:</w:t>
      </w:r>
      <w:r w:rsidRPr="00A722C4">
        <w:rPr>
          <w:b/>
          <w:bCs/>
        </w:rPr>
        <w:tab/>
      </w:r>
      <w:r w:rsidR="00BB57E1" w:rsidRPr="00A722C4">
        <w:rPr>
          <w:bCs/>
        </w:rPr>
        <w:t>29 November</w:t>
      </w:r>
      <w:r w:rsidR="00887B7B" w:rsidRPr="00A722C4">
        <w:rPr>
          <w:bCs/>
        </w:rPr>
        <w:t xml:space="preserve"> 201</w:t>
      </w:r>
      <w:r w:rsidR="004E5D9B" w:rsidRPr="00A722C4">
        <w:rPr>
          <w:bCs/>
        </w:rPr>
        <w:t>9</w:t>
      </w:r>
    </w:p>
    <w:p w:rsidR="00BF774D" w:rsidRDefault="00BF774D" w:rsidP="00A722C4">
      <w:pPr>
        <w:spacing w:line="360" w:lineRule="auto"/>
        <w:rPr>
          <w:b/>
        </w:rPr>
      </w:pPr>
    </w:p>
    <w:p w:rsidR="00B15C25" w:rsidRPr="00A722C4" w:rsidRDefault="00685CBF" w:rsidP="00A722C4">
      <w:pPr>
        <w:spacing w:line="360" w:lineRule="auto"/>
      </w:pPr>
      <w:r w:rsidRPr="00A722C4">
        <w:rPr>
          <w:b/>
        </w:rPr>
        <w:t>Summary:</w:t>
      </w:r>
      <w:r w:rsidRPr="00A722C4">
        <w:rPr>
          <w:b/>
        </w:rPr>
        <w:tab/>
      </w:r>
      <w:r w:rsidR="00883763" w:rsidRPr="00A722C4">
        <w:t>Constitutional validity of s 10 of the Promotion of Equality and Prevention of Unfair Discrimination Act 4 of 2000 – overbreadth and vagueness – freedom of expression and regulation of hate speech.</w:t>
      </w:r>
    </w:p>
    <w:p w:rsidR="003478B9" w:rsidRPr="00A722C4" w:rsidRDefault="003478B9" w:rsidP="00A722C4">
      <w:pPr>
        <w:spacing w:line="360" w:lineRule="auto"/>
      </w:pPr>
    </w:p>
    <w:p w:rsidR="003952A3" w:rsidRPr="00A722C4" w:rsidRDefault="00006CB0" w:rsidP="00A722C4">
      <w:pPr>
        <w:spacing w:line="360" w:lineRule="auto"/>
        <w:jc w:val="center"/>
      </w:pPr>
      <w:r w:rsidRPr="00A722C4">
        <w:lastRenderedPageBreak/>
        <w:t>_</w:t>
      </w:r>
      <w:r w:rsidR="003952A3" w:rsidRPr="00A722C4">
        <w:t>_________</w:t>
      </w:r>
      <w:r w:rsidRPr="00A722C4">
        <w:t>__</w:t>
      </w:r>
      <w:r w:rsidR="003952A3" w:rsidRPr="00A722C4">
        <w:t>_____________________________________________________</w:t>
      </w:r>
      <w:r w:rsidRPr="00A722C4">
        <w:t>____</w:t>
      </w:r>
    </w:p>
    <w:p w:rsidR="003952A3" w:rsidRPr="00A722C4" w:rsidRDefault="003952A3" w:rsidP="00A722C4">
      <w:pPr>
        <w:spacing w:line="360" w:lineRule="auto"/>
        <w:jc w:val="center"/>
      </w:pPr>
    </w:p>
    <w:p w:rsidR="003952A3" w:rsidRPr="00A722C4" w:rsidRDefault="003952A3" w:rsidP="00A722C4">
      <w:pPr>
        <w:spacing w:line="360" w:lineRule="auto"/>
        <w:jc w:val="center"/>
        <w:rPr>
          <w:b/>
          <w:bCs/>
        </w:rPr>
      </w:pPr>
      <w:r w:rsidRPr="00A722C4">
        <w:rPr>
          <w:b/>
          <w:bCs/>
        </w:rPr>
        <w:t>ORDER</w:t>
      </w:r>
    </w:p>
    <w:p w:rsidR="003952A3" w:rsidRPr="00A722C4" w:rsidRDefault="003952A3" w:rsidP="00A722C4">
      <w:pPr>
        <w:spacing w:line="360" w:lineRule="auto"/>
      </w:pPr>
      <w:r w:rsidRPr="00A722C4">
        <w:t>_______________________________</w:t>
      </w:r>
      <w:r w:rsidR="00006CB0" w:rsidRPr="00A722C4">
        <w:t>___</w:t>
      </w:r>
      <w:r w:rsidRPr="00A722C4">
        <w:t>____________________________________</w:t>
      </w:r>
    </w:p>
    <w:p w:rsidR="00DF5F23" w:rsidRPr="005825D4" w:rsidRDefault="003952A3" w:rsidP="00A722C4">
      <w:pPr>
        <w:spacing w:line="360" w:lineRule="auto"/>
      </w:pPr>
      <w:r w:rsidRPr="005825D4">
        <w:rPr>
          <w:b/>
          <w:bCs/>
        </w:rPr>
        <w:t>On appeal from</w:t>
      </w:r>
      <w:r w:rsidR="009579C1" w:rsidRPr="005825D4">
        <w:rPr>
          <w:sz w:val="20"/>
          <w:szCs w:val="20"/>
        </w:rPr>
        <w:t>:</w:t>
      </w:r>
      <w:r w:rsidR="009610A7" w:rsidRPr="005825D4">
        <w:rPr>
          <w:sz w:val="20"/>
          <w:szCs w:val="20"/>
        </w:rPr>
        <w:t xml:space="preserve"> </w:t>
      </w:r>
      <w:r w:rsidR="003906B9" w:rsidRPr="005825D4">
        <w:t>Gauteng</w:t>
      </w:r>
      <w:r w:rsidR="009512A2" w:rsidRPr="005825D4">
        <w:t xml:space="preserve"> </w:t>
      </w:r>
      <w:r w:rsidR="002362D0" w:rsidRPr="005825D4">
        <w:t xml:space="preserve">Local </w:t>
      </w:r>
      <w:r w:rsidR="009512A2" w:rsidRPr="005825D4">
        <w:t>Division of the High Court</w:t>
      </w:r>
      <w:r w:rsidR="00B17A5B" w:rsidRPr="005825D4">
        <w:t xml:space="preserve">, </w:t>
      </w:r>
      <w:r w:rsidR="002362D0" w:rsidRPr="005825D4">
        <w:t>Johannesburg</w:t>
      </w:r>
      <w:r w:rsidR="000A2F09" w:rsidRPr="005825D4">
        <w:t xml:space="preserve"> (</w:t>
      </w:r>
      <w:r w:rsidR="002362D0" w:rsidRPr="005825D4">
        <w:t>Moshidi</w:t>
      </w:r>
      <w:r w:rsidR="0063750D" w:rsidRPr="005825D4">
        <w:t xml:space="preserve"> </w:t>
      </w:r>
      <w:r w:rsidR="00B15C25" w:rsidRPr="005825D4">
        <w:t>J</w:t>
      </w:r>
      <w:r w:rsidR="00DF5F23" w:rsidRPr="005825D4">
        <w:t xml:space="preserve"> sitting as court of first instance):</w:t>
      </w:r>
    </w:p>
    <w:p w:rsidR="00637F26" w:rsidRPr="005825D4" w:rsidRDefault="00637F26" w:rsidP="00A722C4">
      <w:pPr>
        <w:spacing w:line="360" w:lineRule="auto"/>
      </w:pPr>
    </w:p>
    <w:p w:rsidR="00937343" w:rsidRPr="005825D4" w:rsidRDefault="00937343" w:rsidP="00A722C4">
      <w:pPr>
        <w:spacing w:line="360" w:lineRule="auto"/>
        <w:rPr>
          <w:lang w:val="en-ZA"/>
        </w:rPr>
      </w:pPr>
      <w:r w:rsidRPr="005825D4">
        <w:rPr>
          <w:lang w:val="en-ZA"/>
        </w:rPr>
        <w:t>1 The appeal is upheld with costs.</w:t>
      </w:r>
    </w:p>
    <w:p w:rsidR="00937343" w:rsidRPr="005825D4" w:rsidRDefault="00937343" w:rsidP="00A722C4">
      <w:pPr>
        <w:spacing w:line="360" w:lineRule="auto"/>
        <w:rPr>
          <w:lang w:val="en-ZA"/>
        </w:rPr>
      </w:pPr>
      <w:r w:rsidRPr="005825D4">
        <w:rPr>
          <w:lang w:val="en-ZA"/>
        </w:rPr>
        <w:t>2 The order of Moshidi J is set aside and substituted as follows:</w:t>
      </w:r>
    </w:p>
    <w:p w:rsidR="00937343" w:rsidRPr="005825D4" w:rsidRDefault="00937343" w:rsidP="00A722C4">
      <w:pPr>
        <w:spacing w:line="360" w:lineRule="auto"/>
        <w:rPr>
          <w:lang w:val="en-ZA"/>
        </w:rPr>
      </w:pPr>
      <w:r w:rsidRPr="005825D4">
        <w:rPr>
          <w:lang w:val="en-ZA"/>
        </w:rPr>
        <w:t>‘(a.) Section 10 of the Promotion of Equality and Prevention of Unfair Discrimination Act 4 of 2000 (PEPUDA) is declared to be</w:t>
      </w:r>
      <w:r w:rsidR="00B11960" w:rsidRPr="005825D4">
        <w:rPr>
          <w:lang w:val="en-ZA"/>
        </w:rPr>
        <w:t xml:space="preserve"> inconsiste</w:t>
      </w:r>
      <w:r w:rsidR="00F3071E" w:rsidRPr="005825D4">
        <w:rPr>
          <w:lang w:val="en-ZA"/>
        </w:rPr>
        <w:t>nt with the provisions of s 16</w:t>
      </w:r>
      <w:r w:rsidR="00B11960" w:rsidRPr="005825D4">
        <w:rPr>
          <w:lang w:val="en-ZA"/>
        </w:rPr>
        <w:t xml:space="preserve"> of the Constitution</w:t>
      </w:r>
      <w:r w:rsidRPr="005825D4">
        <w:rPr>
          <w:lang w:val="en-ZA"/>
        </w:rPr>
        <w:t xml:space="preserve"> </w:t>
      </w:r>
      <w:r w:rsidR="00B11960" w:rsidRPr="005825D4">
        <w:rPr>
          <w:lang w:val="en-ZA"/>
        </w:rPr>
        <w:t xml:space="preserve">and is therefore </w:t>
      </w:r>
      <w:r w:rsidRPr="005825D4">
        <w:rPr>
          <w:lang w:val="en-ZA"/>
        </w:rPr>
        <w:t>unconstitutional</w:t>
      </w:r>
      <w:r w:rsidR="00B11960" w:rsidRPr="005825D4">
        <w:rPr>
          <w:lang w:val="en-ZA"/>
        </w:rPr>
        <w:t xml:space="preserve"> and invalid</w:t>
      </w:r>
      <w:r w:rsidRPr="005825D4">
        <w:rPr>
          <w:lang w:val="en-ZA"/>
        </w:rPr>
        <w:t xml:space="preserve">. </w:t>
      </w:r>
    </w:p>
    <w:p w:rsidR="00B955E7" w:rsidRPr="005825D4" w:rsidRDefault="00B955E7" w:rsidP="00A722C4">
      <w:pPr>
        <w:spacing w:line="360" w:lineRule="auto"/>
        <w:rPr>
          <w:lang w:val="en-ZA"/>
        </w:rPr>
      </w:pPr>
      <w:r w:rsidRPr="005825D4">
        <w:rPr>
          <w:lang w:val="en-ZA"/>
        </w:rPr>
        <w:t xml:space="preserve">(b.) The complaint by the South African Human Rights Commission against Mr Qwelane in terms of s 10 of PEPUDA is dismissed. </w:t>
      </w:r>
    </w:p>
    <w:p w:rsidR="00937343" w:rsidRPr="005825D4" w:rsidRDefault="00937343" w:rsidP="00A722C4">
      <w:pPr>
        <w:spacing w:line="360" w:lineRule="auto"/>
        <w:rPr>
          <w:lang w:val="en-ZA"/>
        </w:rPr>
      </w:pPr>
      <w:r w:rsidRPr="005825D4">
        <w:rPr>
          <w:lang w:val="en-ZA"/>
        </w:rPr>
        <w:t>(</w:t>
      </w:r>
      <w:r w:rsidR="00B955E7" w:rsidRPr="005825D4">
        <w:rPr>
          <w:lang w:val="en-ZA"/>
        </w:rPr>
        <w:t>c</w:t>
      </w:r>
      <w:r w:rsidRPr="005825D4">
        <w:rPr>
          <w:lang w:val="en-ZA"/>
        </w:rPr>
        <w:t xml:space="preserve">.) </w:t>
      </w:r>
      <w:r w:rsidR="00562132" w:rsidRPr="005825D4">
        <w:rPr>
          <w:lang w:val="en-ZA"/>
        </w:rPr>
        <w:t>Parliament is afforded a period of 18 (eighteen) months from 29 November 2019 to remedy the defect.</w:t>
      </w:r>
    </w:p>
    <w:p w:rsidR="00937343" w:rsidRPr="005825D4" w:rsidRDefault="00937343" w:rsidP="00A722C4">
      <w:pPr>
        <w:spacing w:line="360" w:lineRule="auto"/>
        <w:rPr>
          <w:lang w:val="en-ZA"/>
        </w:rPr>
      </w:pPr>
      <w:r w:rsidRPr="005825D4">
        <w:rPr>
          <w:lang w:val="en-ZA"/>
        </w:rPr>
        <w:t>(</w:t>
      </w:r>
      <w:r w:rsidR="00B955E7" w:rsidRPr="005825D4">
        <w:rPr>
          <w:lang w:val="en-ZA"/>
        </w:rPr>
        <w:t>d</w:t>
      </w:r>
      <w:r w:rsidRPr="005825D4">
        <w:rPr>
          <w:lang w:val="en-ZA"/>
        </w:rPr>
        <w:t xml:space="preserve">.) During </w:t>
      </w:r>
      <w:r w:rsidR="00B11960" w:rsidRPr="005825D4">
        <w:rPr>
          <w:lang w:val="en-ZA"/>
        </w:rPr>
        <w:t>the aforesaid</w:t>
      </w:r>
      <w:r w:rsidRPr="005825D4">
        <w:rPr>
          <w:lang w:val="en-ZA"/>
        </w:rPr>
        <w:t xml:space="preserve"> period s 10 of PEPUDA shall read as follows:</w:t>
      </w:r>
    </w:p>
    <w:p w:rsidR="00937343" w:rsidRPr="005825D4" w:rsidRDefault="00937343" w:rsidP="00A722C4">
      <w:pPr>
        <w:spacing w:line="360" w:lineRule="auto"/>
        <w:ind w:left="720" w:hanging="720"/>
        <w:rPr>
          <w:lang w:val="en-ZA"/>
        </w:rPr>
      </w:pPr>
      <w:r w:rsidRPr="005825D4">
        <w:rPr>
          <w:lang w:val="en-ZA"/>
        </w:rPr>
        <w:t>“10(1)</w:t>
      </w:r>
      <w:r w:rsidRPr="005825D4">
        <w:rPr>
          <w:lang w:val="en-ZA"/>
        </w:rPr>
        <w:tab/>
        <w:t>No person may advocate hatred that is based on race, ethnicity, gender, religion or sexual orientation and that constitutes incitement to cause harm.</w:t>
      </w:r>
    </w:p>
    <w:p w:rsidR="00937343" w:rsidRPr="005825D4" w:rsidRDefault="00937343" w:rsidP="00A722C4">
      <w:pPr>
        <w:spacing w:line="360" w:lineRule="auto"/>
        <w:ind w:left="720" w:hanging="720"/>
        <w:rPr>
          <w:lang w:val="en-ZA"/>
        </w:rPr>
      </w:pPr>
      <w:r w:rsidRPr="005825D4">
        <w:rPr>
          <w:lang w:val="en-ZA"/>
        </w:rPr>
        <w:t>10(2)</w:t>
      </w:r>
      <w:r w:rsidRPr="005825D4">
        <w:rPr>
          <w:lang w:val="en-ZA"/>
        </w:rPr>
        <w:tab/>
        <w:t>Without prejudice to any remedies of a civil nature under this Act, the court may, in accordance with section 21(2)</w:t>
      </w:r>
      <w:r w:rsidRPr="005825D4">
        <w:rPr>
          <w:i/>
          <w:lang w:val="en-ZA"/>
        </w:rPr>
        <w:t>(n)</w:t>
      </w:r>
      <w:r w:rsidRPr="005825D4">
        <w:rPr>
          <w:lang w:val="en-ZA"/>
        </w:rPr>
        <w:t xml:space="preserve"> and where appropriate, refer any case dealing with the advocacy of hatred that is based on race, ethnicity, gender, </w:t>
      </w:r>
      <w:r w:rsidR="00710674" w:rsidRPr="005825D4">
        <w:rPr>
          <w:lang w:val="en-ZA"/>
        </w:rPr>
        <w:t xml:space="preserve">religion or </w:t>
      </w:r>
      <w:r w:rsidRPr="005825D4">
        <w:rPr>
          <w:lang w:val="en-ZA"/>
        </w:rPr>
        <w:t>sexual orientation, and that constitutes incitement to cause harm, as contemplated in subsection (1), to the Director of Public Prosecutions having jurisdiction for the institution of criminal proceedings in terms of the common law or relevant legislation.”</w:t>
      </w:r>
    </w:p>
    <w:p w:rsidR="00937343" w:rsidRPr="005825D4" w:rsidRDefault="00937343" w:rsidP="00A722C4">
      <w:pPr>
        <w:spacing w:line="360" w:lineRule="auto"/>
        <w:rPr>
          <w:lang w:val="en-ZA"/>
        </w:rPr>
      </w:pPr>
      <w:r w:rsidRPr="005825D4">
        <w:rPr>
          <w:lang w:val="en-ZA"/>
        </w:rPr>
        <w:t>(</w:t>
      </w:r>
      <w:r w:rsidR="00B955E7" w:rsidRPr="005825D4">
        <w:rPr>
          <w:lang w:val="en-ZA"/>
        </w:rPr>
        <w:t>e</w:t>
      </w:r>
      <w:r w:rsidRPr="005825D4">
        <w:rPr>
          <w:lang w:val="en-ZA"/>
        </w:rPr>
        <w:t>.) Section 10</w:t>
      </w:r>
      <w:r w:rsidR="00710674" w:rsidRPr="005825D4">
        <w:rPr>
          <w:lang w:val="en-ZA"/>
        </w:rPr>
        <w:t>, in the form set out in para (d</w:t>
      </w:r>
      <w:r w:rsidRPr="005825D4">
        <w:rPr>
          <w:lang w:val="en-ZA"/>
        </w:rPr>
        <w:t>.)</w:t>
      </w:r>
      <w:r w:rsidR="00BE3DA4" w:rsidRPr="005825D4">
        <w:rPr>
          <w:lang w:val="en-ZA"/>
        </w:rPr>
        <w:t>,</w:t>
      </w:r>
      <w:r w:rsidRPr="005825D4">
        <w:rPr>
          <w:lang w:val="en-ZA"/>
        </w:rPr>
        <w:t xml:space="preserve"> will fall away upon the coming into operation of a legislative amendment to s 10, or its repeal by a statute dealing with the regulation of hate speech. Should Parliament fail to </w:t>
      </w:r>
      <w:r w:rsidR="005C6EA0" w:rsidRPr="005825D4">
        <w:rPr>
          <w:lang w:val="en-ZA"/>
        </w:rPr>
        <w:t>effect such changes</w:t>
      </w:r>
      <w:r w:rsidR="00872793" w:rsidRPr="005825D4">
        <w:rPr>
          <w:lang w:val="en-ZA"/>
        </w:rPr>
        <w:t xml:space="preserve"> by the end of the period </w:t>
      </w:r>
      <w:r w:rsidR="00562132" w:rsidRPr="005825D4">
        <w:rPr>
          <w:lang w:val="en-ZA"/>
        </w:rPr>
        <w:t>referred to in (c.) above</w:t>
      </w:r>
      <w:r w:rsidR="00710674" w:rsidRPr="005825D4">
        <w:rPr>
          <w:lang w:val="en-ZA"/>
        </w:rPr>
        <w:t>, s 10 in the form set out in (d</w:t>
      </w:r>
      <w:r w:rsidRPr="005825D4">
        <w:rPr>
          <w:lang w:val="en-ZA"/>
        </w:rPr>
        <w:t>.) will become final.</w:t>
      </w:r>
    </w:p>
    <w:p w:rsidR="00937343" w:rsidRPr="005825D4" w:rsidRDefault="00937343" w:rsidP="00A722C4">
      <w:pPr>
        <w:spacing w:line="360" w:lineRule="auto"/>
        <w:rPr>
          <w:lang w:val="en-ZA"/>
        </w:rPr>
      </w:pPr>
      <w:r w:rsidRPr="005825D4">
        <w:rPr>
          <w:lang w:val="en-ZA"/>
        </w:rPr>
        <w:t>(</w:t>
      </w:r>
      <w:r w:rsidR="00B955E7" w:rsidRPr="005825D4">
        <w:rPr>
          <w:lang w:val="en-ZA"/>
        </w:rPr>
        <w:t>f</w:t>
      </w:r>
      <w:r w:rsidRPr="005825D4">
        <w:rPr>
          <w:lang w:val="en-ZA"/>
        </w:rPr>
        <w:t xml:space="preserve">.) This order is referred to the Constitutional Court </w:t>
      </w:r>
      <w:r w:rsidR="006C2050" w:rsidRPr="005825D4">
        <w:rPr>
          <w:lang w:val="en-ZA"/>
        </w:rPr>
        <w:t>in terms of s 172(2)</w:t>
      </w:r>
      <w:r w:rsidR="006C2050" w:rsidRPr="005825D4">
        <w:rPr>
          <w:i/>
          <w:lang w:val="en-ZA"/>
        </w:rPr>
        <w:t>(a)</w:t>
      </w:r>
      <w:r w:rsidR="006C2050" w:rsidRPr="005825D4">
        <w:rPr>
          <w:lang w:val="en-ZA"/>
        </w:rPr>
        <w:t xml:space="preserve"> of the Constitution </w:t>
      </w:r>
      <w:r w:rsidR="00AC62BA" w:rsidRPr="005825D4">
        <w:rPr>
          <w:lang w:val="en-ZA"/>
        </w:rPr>
        <w:t xml:space="preserve">for confirmation </w:t>
      </w:r>
      <w:r w:rsidR="006C2050" w:rsidRPr="005825D4">
        <w:rPr>
          <w:lang w:val="en-ZA"/>
        </w:rPr>
        <w:t>of the order of constitutional invalidity.</w:t>
      </w:r>
      <w:r w:rsidRPr="005825D4">
        <w:rPr>
          <w:lang w:val="en-ZA"/>
        </w:rPr>
        <w:t>’</w:t>
      </w:r>
    </w:p>
    <w:p w:rsidR="003952A3" w:rsidRPr="005825D4" w:rsidRDefault="003952A3" w:rsidP="00A722C4">
      <w:pPr>
        <w:spacing w:line="360" w:lineRule="auto"/>
        <w:jc w:val="center"/>
      </w:pPr>
      <w:r w:rsidRPr="005825D4">
        <w:lastRenderedPageBreak/>
        <w:t>_</w:t>
      </w:r>
      <w:r w:rsidR="00006CB0" w:rsidRPr="005825D4">
        <w:t>__</w:t>
      </w:r>
      <w:r w:rsidRPr="005825D4">
        <w:t>___________________</w:t>
      </w:r>
      <w:r w:rsidR="00006CB0" w:rsidRPr="005825D4">
        <w:t>__</w:t>
      </w:r>
      <w:r w:rsidRPr="005825D4">
        <w:t>_______________</w:t>
      </w:r>
      <w:r w:rsidR="00006CB0" w:rsidRPr="005825D4">
        <w:t>_______________________________</w:t>
      </w:r>
    </w:p>
    <w:p w:rsidR="003952A3" w:rsidRPr="005825D4" w:rsidRDefault="003952A3" w:rsidP="00A722C4">
      <w:pPr>
        <w:spacing w:line="360" w:lineRule="auto"/>
        <w:jc w:val="center"/>
        <w:rPr>
          <w:b/>
          <w:bCs/>
        </w:rPr>
      </w:pPr>
    </w:p>
    <w:p w:rsidR="003952A3" w:rsidRPr="005825D4" w:rsidRDefault="00C63B74" w:rsidP="00A722C4">
      <w:pPr>
        <w:spacing w:line="360" w:lineRule="auto"/>
        <w:jc w:val="center"/>
        <w:rPr>
          <w:b/>
          <w:bCs/>
        </w:rPr>
      </w:pPr>
      <w:r w:rsidRPr="005825D4">
        <w:rPr>
          <w:b/>
          <w:bCs/>
        </w:rPr>
        <w:t>JUDGMENT</w:t>
      </w:r>
    </w:p>
    <w:p w:rsidR="003952A3" w:rsidRPr="005825D4" w:rsidRDefault="003952A3" w:rsidP="00A722C4">
      <w:pPr>
        <w:spacing w:line="360" w:lineRule="auto"/>
        <w:jc w:val="center"/>
      </w:pPr>
      <w:r w:rsidRPr="005825D4">
        <w:t>_________________</w:t>
      </w:r>
      <w:r w:rsidR="00006CB0" w:rsidRPr="005825D4">
        <w:t>____</w:t>
      </w:r>
      <w:r w:rsidRPr="005825D4">
        <w:t>__________________</w:t>
      </w:r>
      <w:r w:rsidR="00006CB0" w:rsidRPr="005825D4">
        <w:t>_______________________________</w:t>
      </w:r>
    </w:p>
    <w:p w:rsidR="003952A3" w:rsidRPr="005825D4" w:rsidRDefault="002362D0" w:rsidP="00A722C4">
      <w:pPr>
        <w:spacing w:line="360" w:lineRule="auto"/>
      </w:pPr>
      <w:r w:rsidRPr="005825D4">
        <w:t>Navsa JA</w:t>
      </w:r>
      <w:r w:rsidR="003952A3" w:rsidRPr="005825D4">
        <w:t xml:space="preserve"> (</w:t>
      </w:r>
      <w:r w:rsidR="00A722C4" w:rsidRPr="005825D4">
        <w:rPr>
          <w:bCs/>
        </w:rPr>
        <w:t>Wallis, Dambuza and Van der Merwe JJA and Dolamo AJA</w:t>
      </w:r>
      <w:r w:rsidR="00182B1B" w:rsidRPr="005825D4">
        <w:rPr>
          <w:bCs/>
        </w:rPr>
        <w:t xml:space="preserve"> </w:t>
      </w:r>
      <w:r w:rsidR="00547081" w:rsidRPr="005825D4">
        <w:rPr>
          <w:bCs/>
        </w:rPr>
        <w:t>concurring</w:t>
      </w:r>
      <w:r w:rsidR="003952A3" w:rsidRPr="005825D4">
        <w:t>):</w:t>
      </w:r>
    </w:p>
    <w:p w:rsidR="00646201" w:rsidRPr="005825D4" w:rsidRDefault="00646201" w:rsidP="00A722C4">
      <w:pPr>
        <w:spacing w:line="360" w:lineRule="auto"/>
        <w:rPr>
          <w:b/>
        </w:rPr>
      </w:pPr>
    </w:p>
    <w:p w:rsidR="009648C6" w:rsidRPr="005825D4" w:rsidRDefault="00433AFC" w:rsidP="00A722C4">
      <w:pPr>
        <w:spacing w:line="360" w:lineRule="auto"/>
        <w:rPr>
          <w:b/>
        </w:rPr>
      </w:pPr>
      <w:r w:rsidRPr="005825D4">
        <w:rPr>
          <w:b/>
        </w:rPr>
        <w:t>Introduction, t</w:t>
      </w:r>
      <w:r w:rsidR="009648C6" w:rsidRPr="005825D4">
        <w:rPr>
          <w:b/>
        </w:rPr>
        <w:t>he</w:t>
      </w:r>
      <w:r w:rsidRPr="005825D4">
        <w:rPr>
          <w:b/>
        </w:rPr>
        <w:t xml:space="preserve"> principal</w:t>
      </w:r>
      <w:r w:rsidR="009648C6" w:rsidRPr="005825D4">
        <w:rPr>
          <w:b/>
        </w:rPr>
        <w:t xml:space="preserve"> issue and the background</w:t>
      </w:r>
    </w:p>
    <w:p w:rsidR="00B217EE" w:rsidRPr="005825D4" w:rsidRDefault="00B54469" w:rsidP="00A722C4">
      <w:pPr>
        <w:spacing w:line="360" w:lineRule="auto"/>
      </w:pPr>
      <w:r w:rsidRPr="005825D4">
        <w:t>[1]</w:t>
      </w:r>
      <w:r w:rsidR="00090A0B" w:rsidRPr="005825D4">
        <w:rPr>
          <w:b/>
        </w:rPr>
        <w:tab/>
      </w:r>
      <w:r w:rsidR="00CB6878" w:rsidRPr="005825D4">
        <w:rPr>
          <w:b/>
        </w:rPr>
        <w:t>‘</w:t>
      </w:r>
      <w:r w:rsidR="00CB6878" w:rsidRPr="005825D4">
        <w:t xml:space="preserve">Hatred makes us all ugly’. This statement is uttered </w:t>
      </w:r>
      <w:r w:rsidR="001C1A4C" w:rsidRPr="005825D4">
        <w:t xml:space="preserve">by a character in </w:t>
      </w:r>
      <w:r w:rsidR="00B217EE" w:rsidRPr="005825D4">
        <w:t xml:space="preserve">a </w:t>
      </w:r>
      <w:r w:rsidR="001C1A4C" w:rsidRPr="005825D4">
        <w:t>novel</w:t>
      </w:r>
      <w:r w:rsidR="00B217EE" w:rsidRPr="005825D4">
        <w:t xml:space="preserve"> by contempo</w:t>
      </w:r>
      <w:r w:rsidR="00CB6878" w:rsidRPr="005825D4">
        <w:t>rary author</w:t>
      </w:r>
      <w:r w:rsidR="0075140D" w:rsidRPr="005825D4">
        <w:t>,</w:t>
      </w:r>
      <w:r w:rsidR="00CB6878" w:rsidRPr="005825D4">
        <w:t xml:space="preserve"> Laurell K. Hamilton.</w:t>
      </w:r>
      <w:r w:rsidR="00CB6878" w:rsidRPr="005825D4">
        <w:rPr>
          <w:rStyle w:val="FootnoteReference"/>
        </w:rPr>
        <w:t xml:space="preserve"> </w:t>
      </w:r>
      <w:r w:rsidR="00CB6878" w:rsidRPr="005825D4">
        <w:rPr>
          <w:rStyle w:val="FootnoteReference"/>
        </w:rPr>
        <w:footnoteReference w:id="1"/>
      </w:r>
    </w:p>
    <w:p w:rsidR="00433AFC" w:rsidRPr="005825D4" w:rsidRDefault="00B217EE" w:rsidP="00A722C4">
      <w:pPr>
        <w:spacing w:line="360" w:lineRule="auto"/>
        <w:rPr>
          <w:lang w:val="en-ZA"/>
        </w:rPr>
      </w:pPr>
      <w:r w:rsidRPr="005825D4">
        <w:rPr>
          <w:lang w:val="en-ZA"/>
        </w:rPr>
        <w:t xml:space="preserve">It can rightly be said that espousing and fostering hatred is the antithesis of </w:t>
      </w:r>
      <w:r w:rsidR="00433AFC" w:rsidRPr="005825D4">
        <w:rPr>
          <w:lang w:val="en-ZA"/>
        </w:rPr>
        <w:t xml:space="preserve">our constitutional order. The preamble to the Constitution sets out the basis of our social compact. It records that we, as a nation, </w:t>
      </w:r>
      <w:r w:rsidR="00BE3DA4" w:rsidRPr="005825D4">
        <w:rPr>
          <w:lang w:val="en-ZA"/>
        </w:rPr>
        <w:t xml:space="preserve">whilst </w:t>
      </w:r>
      <w:r w:rsidR="00433AFC" w:rsidRPr="005825D4">
        <w:rPr>
          <w:lang w:val="en-ZA"/>
        </w:rPr>
        <w:t>recognising our painful past, ‘</w:t>
      </w:r>
      <w:r w:rsidR="00BE3DA4" w:rsidRPr="005825D4">
        <w:rPr>
          <w:lang w:val="en-ZA"/>
        </w:rPr>
        <w:t>[</w:t>
      </w:r>
      <w:r w:rsidR="00433AFC" w:rsidRPr="005825D4">
        <w:rPr>
          <w:lang w:val="en-ZA"/>
        </w:rPr>
        <w:t>b</w:t>
      </w:r>
      <w:r w:rsidR="00BE3DA4" w:rsidRPr="005825D4">
        <w:rPr>
          <w:lang w:val="en-ZA"/>
        </w:rPr>
        <w:t>]</w:t>
      </w:r>
      <w:r w:rsidR="00433AFC" w:rsidRPr="005825D4">
        <w:rPr>
          <w:lang w:val="en-ZA"/>
        </w:rPr>
        <w:t xml:space="preserve">elieve that South Africa belongs to all who live in it and that we are united in our diversity’. We also undertake to </w:t>
      </w:r>
      <w:r w:rsidR="00BE3DA4" w:rsidRPr="005825D4">
        <w:rPr>
          <w:lang w:val="en-ZA"/>
        </w:rPr>
        <w:t>‘[</w:t>
      </w:r>
      <w:r w:rsidR="00433AFC" w:rsidRPr="005825D4">
        <w:rPr>
          <w:lang w:val="en-ZA"/>
        </w:rPr>
        <w:t>h</w:t>
      </w:r>
      <w:r w:rsidR="00BE3DA4" w:rsidRPr="005825D4">
        <w:rPr>
          <w:lang w:val="en-ZA"/>
        </w:rPr>
        <w:t>]</w:t>
      </w:r>
      <w:r w:rsidR="00433AFC" w:rsidRPr="005825D4">
        <w:rPr>
          <w:lang w:val="en-ZA"/>
        </w:rPr>
        <w:t xml:space="preserve">eal the divisions of our past and establish a society based on democratic values, social justice and fundamental human rights’. </w:t>
      </w:r>
    </w:p>
    <w:p w:rsidR="00CB6878" w:rsidRPr="005825D4" w:rsidRDefault="00CB6878" w:rsidP="00A722C4">
      <w:pPr>
        <w:spacing w:line="360" w:lineRule="auto"/>
        <w:rPr>
          <w:lang w:val="en-ZA"/>
        </w:rPr>
      </w:pPr>
    </w:p>
    <w:p w:rsidR="00CB6878" w:rsidRPr="005825D4" w:rsidRDefault="00CB6878" w:rsidP="00A722C4">
      <w:pPr>
        <w:spacing w:line="360" w:lineRule="auto"/>
        <w:rPr>
          <w:lang w:val="en-ZA"/>
        </w:rPr>
      </w:pPr>
      <w:r w:rsidRPr="005825D4">
        <w:rPr>
          <w:lang w:val="en-ZA"/>
        </w:rPr>
        <w:t>[2]</w:t>
      </w:r>
      <w:r w:rsidRPr="005825D4">
        <w:rPr>
          <w:lang w:val="en-ZA"/>
        </w:rPr>
        <w:tab/>
        <w:t xml:space="preserve">On the other hand, freedom of expression is vital to </w:t>
      </w:r>
      <w:r w:rsidR="00BE3DA4" w:rsidRPr="005825D4">
        <w:rPr>
          <w:lang w:val="en-ZA"/>
        </w:rPr>
        <w:t xml:space="preserve">- </w:t>
      </w:r>
      <w:r w:rsidR="006C2050" w:rsidRPr="005825D4">
        <w:rPr>
          <w:lang w:val="en-ZA"/>
        </w:rPr>
        <w:t>and i</w:t>
      </w:r>
      <w:r w:rsidR="00BE3DA4" w:rsidRPr="005825D4">
        <w:rPr>
          <w:lang w:val="en-ZA"/>
        </w:rPr>
        <w:t>ndeed</w:t>
      </w:r>
      <w:r w:rsidR="006C2050" w:rsidRPr="005825D4">
        <w:rPr>
          <w:lang w:val="en-ZA"/>
        </w:rPr>
        <w:t xml:space="preserve"> </w:t>
      </w:r>
      <w:r w:rsidRPr="005825D4">
        <w:rPr>
          <w:lang w:val="en-ZA"/>
        </w:rPr>
        <w:t xml:space="preserve">the lifeblood of </w:t>
      </w:r>
      <w:r w:rsidR="00BE3DA4" w:rsidRPr="005825D4">
        <w:rPr>
          <w:lang w:val="en-ZA"/>
        </w:rPr>
        <w:t xml:space="preserve">- </w:t>
      </w:r>
      <w:r w:rsidRPr="005825D4">
        <w:rPr>
          <w:lang w:val="en-ZA"/>
        </w:rPr>
        <w:t>a democratic society. Renowned author, George Orwell, who was preoccupied with government encroachment on individual liberties, political correctness and ‘thought police’, said the following:</w:t>
      </w:r>
    </w:p>
    <w:p w:rsidR="00CB6878" w:rsidRPr="005825D4" w:rsidRDefault="00CB6878" w:rsidP="00A722C4">
      <w:pPr>
        <w:spacing w:line="360" w:lineRule="auto"/>
        <w:rPr>
          <w:sz w:val="22"/>
        </w:rPr>
      </w:pPr>
      <w:r w:rsidRPr="005825D4">
        <w:rPr>
          <w:sz w:val="22"/>
          <w:lang w:val="en-ZA"/>
        </w:rPr>
        <w:t>‘</w:t>
      </w:r>
      <w:r w:rsidRPr="005825D4">
        <w:rPr>
          <w:sz w:val="22"/>
        </w:rPr>
        <w:t>If liberty means anything at all, it means the right to tell people what they do not want to hear.’</w:t>
      </w:r>
      <w:r w:rsidR="00BE3DA4" w:rsidRPr="005825D4">
        <w:rPr>
          <w:rStyle w:val="FootnoteReference"/>
          <w:sz w:val="22"/>
        </w:rPr>
        <w:footnoteReference w:id="2"/>
      </w:r>
    </w:p>
    <w:p w:rsidR="00CB6878" w:rsidRPr="005825D4" w:rsidRDefault="00CB6878" w:rsidP="00A722C4">
      <w:pPr>
        <w:spacing w:line="360" w:lineRule="auto"/>
        <w:rPr>
          <w:bCs/>
          <w:shd w:val="clear" w:color="auto" w:fill="FFFFFF"/>
        </w:rPr>
      </w:pPr>
      <w:r w:rsidRPr="005825D4">
        <w:rPr>
          <w:lang w:val="en-ZA"/>
        </w:rPr>
        <w:t xml:space="preserve">Author, </w:t>
      </w:r>
      <w:r w:rsidR="001B4D82" w:rsidRPr="005825D4">
        <w:rPr>
          <w:bCs/>
          <w:shd w:val="clear" w:color="auto" w:fill="FFFFFF"/>
        </w:rPr>
        <w:t>Mokokoma Mokhonoana is reported to have</w:t>
      </w:r>
      <w:r w:rsidRPr="005825D4">
        <w:rPr>
          <w:bCs/>
          <w:shd w:val="clear" w:color="auto" w:fill="FFFFFF"/>
        </w:rPr>
        <w:t xml:space="preserve"> said about freedom of speech:</w:t>
      </w:r>
    </w:p>
    <w:p w:rsidR="00CB6878" w:rsidRPr="005825D4" w:rsidRDefault="00CB6878" w:rsidP="00A722C4">
      <w:pPr>
        <w:spacing w:line="360" w:lineRule="auto"/>
        <w:rPr>
          <w:sz w:val="22"/>
          <w:lang w:val="en-ZA"/>
        </w:rPr>
      </w:pPr>
      <w:r w:rsidRPr="005825D4">
        <w:rPr>
          <w:bCs/>
          <w:sz w:val="22"/>
          <w:shd w:val="clear" w:color="auto" w:fill="FFFFFF"/>
        </w:rPr>
        <w:t>‘Freedom of speech gives us the right to offend others, whereas freedom of thought gives them the choice as to whether or not to be offended.’</w:t>
      </w:r>
      <w:r w:rsidR="004A25B0" w:rsidRPr="005825D4">
        <w:rPr>
          <w:rStyle w:val="FootnoteReference"/>
          <w:bCs/>
          <w:sz w:val="22"/>
          <w:shd w:val="clear" w:color="auto" w:fill="FFFFFF"/>
        </w:rPr>
        <w:footnoteReference w:id="3"/>
      </w:r>
    </w:p>
    <w:p w:rsidR="00CB6878" w:rsidRPr="005825D4" w:rsidRDefault="00CB6878" w:rsidP="00A722C4">
      <w:pPr>
        <w:spacing w:line="360" w:lineRule="auto"/>
        <w:rPr>
          <w:lang w:val="en-ZA"/>
        </w:rPr>
      </w:pPr>
      <w:r w:rsidRPr="005825D4">
        <w:rPr>
          <w:lang w:val="en-ZA"/>
        </w:rPr>
        <w:t>Hate speech, in constitutional terms, as the discussion later in this judgment will show, travels beyond mere offensiveness and is regulated in comparable constitutional democracies. Our Constitution guarantees freedom of expression with a qualification which, as will become apparent, is central to this appeal.</w:t>
      </w:r>
    </w:p>
    <w:p w:rsidR="00E774CC" w:rsidRPr="005825D4" w:rsidRDefault="00E774CC" w:rsidP="00A722C4">
      <w:pPr>
        <w:spacing w:line="360" w:lineRule="auto"/>
        <w:rPr>
          <w:lang w:val="en-ZA"/>
        </w:rPr>
      </w:pPr>
    </w:p>
    <w:p w:rsidR="001C1A4C" w:rsidRPr="005825D4" w:rsidRDefault="00564E99" w:rsidP="00A722C4">
      <w:pPr>
        <w:spacing w:line="360" w:lineRule="auto"/>
        <w:rPr>
          <w:bCs/>
        </w:rPr>
      </w:pPr>
      <w:r w:rsidRPr="005825D4">
        <w:rPr>
          <w:lang w:val="en-ZA"/>
        </w:rPr>
        <w:t>[3]</w:t>
      </w:r>
      <w:r w:rsidRPr="005825D4">
        <w:rPr>
          <w:lang w:val="en-ZA"/>
        </w:rPr>
        <w:tab/>
        <w:t>This appeal brings into focus the tension between hate speech and freedom of expression and is concerned</w:t>
      </w:r>
      <w:r w:rsidR="003F713F" w:rsidRPr="005825D4">
        <w:rPr>
          <w:lang w:val="en-ZA"/>
        </w:rPr>
        <w:t>,</w:t>
      </w:r>
      <w:r w:rsidRPr="005825D4">
        <w:rPr>
          <w:lang w:val="en-ZA"/>
        </w:rPr>
        <w:t xml:space="preserve"> </w:t>
      </w:r>
      <w:r w:rsidR="00F31439" w:rsidRPr="005825D4">
        <w:rPr>
          <w:lang w:val="en-ZA"/>
        </w:rPr>
        <w:t>principally</w:t>
      </w:r>
      <w:r w:rsidR="003F713F" w:rsidRPr="005825D4">
        <w:rPr>
          <w:lang w:val="en-ZA"/>
        </w:rPr>
        <w:t>,</w:t>
      </w:r>
      <w:r w:rsidR="00F31439" w:rsidRPr="005825D4">
        <w:rPr>
          <w:lang w:val="en-ZA"/>
        </w:rPr>
        <w:t xml:space="preserve"> </w:t>
      </w:r>
      <w:r w:rsidR="005C68F3" w:rsidRPr="005825D4">
        <w:rPr>
          <w:lang w:val="en-ZA"/>
        </w:rPr>
        <w:t xml:space="preserve">with the constitutionality of </w:t>
      </w:r>
      <w:r w:rsidR="00B217EE" w:rsidRPr="005825D4">
        <w:rPr>
          <w:lang w:val="en-ZA"/>
        </w:rPr>
        <w:t>the hate speech</w:t>
      </w:r>
      <w:r w:rsidR="00143A19" w:rsidRPr="005825D4">
        <w:rPr>
          <w:lang w:val="en-ZA"/>
        </w:rPr>
        <w:t xml:space="preserve"> </w:t>
      </w:r>
      <w:r w:rsidR="005C68F3" w:rsidRPr="005825D4">
        <w:rPr>
          <w:lang w:val="en-ZA"/>
        </w:rPr>
        <w:t xml:space="preserve">provisions of the </w:t>
      </w:r>
      <w:r w:rsidR="005C68F3" w:rsidRPr="005825D4">
        <w:rPr>
          <w:bCs/>
        </w:rPr>
        <w:t>Promotion of Equality and Prevention of Unfair Discrimin</w:t>
      </w:r>
      <w:r w:rsidRPr="005825D4">
        <w:rPr>
          <w:bCs/>
        </w:rPr>
        <w:t xml:space="preserve">ation Act 4 of 2000 (PEPUDA). </w:t>
      </w:r>
      <w:r w:rsidR="001C1A4C" w:rsidRPr="005825D4">
        <w:rPr>
          <w:bCs/>
        </w:rPr>
        <w:t xml:space="preserve">The details of the constitutional challenge </w:t>
      </w:r>
      <w:r w:rsidR="00FF3478" w:rsidRPr="005825D4">
        <w:rPr>
          <w:bCs/>
        </w:rPr>
        <w:t>are</w:t>
      </w:r>
      <w:r w:rsidR="001C1A4C" w:rsidRPr="005825D4">
        <w:rPr>
          <w:bCs/>
        </w:rPr>
        <w:t xml:space="preserve"> dealt with later. At this point it is necessary to set out the factual background culminating in the present appeal</w:t>
      </w:r>
      <w:r w:rsidR="006C2050" w:rsidRPr="005825D4">
        <w:rPr>
          <w:bCs/>
        </w:rPr>
        <w:t xml:space="preserve"> and the related legislative framework</w:t>
      </w:r>
      <w:r w:rsidR="001C1A4C" w:rsidRPr="005825D4">
        <w:rPr>
          <w:bCs/>
        </w:rPr>
        <w:t xml:space="preserve">. </w:t>
      </w:r>
    </w:p>
    <w:p w:rsidR="001C1A4C" w:rsidRPr="005825D4" w:rsidRDefault="001C1A4C" w:rsidP="00A722C4">
      <w:pPr>
        <w:spacing w:line="360" w:lineRule="auto"/>
        <w:rPr>
          <w:bCs/>
        </w:rPr>
      </w:pPr>
    </w:p>
    <w:p w:rsidR="00884B57" w:rsidRPr="005825D4" w:rsidRDefault="001C1A4C" w:rsidP="00A722C4">
      <w:pPr>
        <w:spacing w:line="360" w:lineRule="auto"/>
        <w:rPr>
          <w:lang w:val="en-ZA"/>
        </w:rPr>
      </w:pPr>
      <w:r w:rsidRPr="005825D4">
        <w:rPr>
          <w:bCs/>
        </w:rPr>
        <w:t>[4]</w:t>
      </w:r>
      <w:r w:rsidRPr="005825D4">
        <w:rPr>
          <w:bCs/>
        </w:rPr>
        <w:tab/>
        <w:t>On 20 July 2008,</w:t>
      </w:r>
      <w:r w:rsidRPr="005825D4">
        <w:t xml:space="preserve"> more than a decade ago</w:t>
      </w:r>
      <w:r w:rsidRPr="005825D4">
        <w:rPr>
          <w:bCs/>
        </w:rPr>
        <w:t xml:space="preserve">, </w:t>
      </w:r>
      <w:r w:rsidR="007D1E0C" w:rsidRPr="005825D4">
        <w:t>an admittedly offensi</w:t>
      </w:r>
      <w:r w:rsidR="00170653" w:rsidRPr="005825D4">
        <w:t>ve article directed against the gay community</w:t>
      </w:r>
      <w:r w:rsidRPr="005825D4">
        <w:t xml:space="preserve"> </w:t>
      </w:r>
      <w:r w:rsidR="007D1E0C" w:rsidRPr="005825D4">
        <w:t xml:space="preserve">was published in the Sunday Sun, a national </w:t>
      </w:r>
      <w:r w:rsidR="00143A19" w:rsidRPr="005825D4">
        <w:t xml:space="preserve">tabloid </w:t>
      </w:r>
      <w:r w:rsidR="007D1E0C" w:rsidRPr="005825D4">
        <w:t xml:space="preserve">newspaper. It was penned by </w:t>
      </w:r>
      <w:r w:rsidR="000311BA" w:rsidRPr="005825D4">
        <w:t xml:space="preserve">the appellant, </w:t>
      </w:r>
      <w:r w:rsidR="007D1E0C" w:rsidRPr="005825D4">
        <w:t xml:space="preserve">Mr Jonathan Dubula Qwelane, a well-known anti-apartheid activist and journalist during </w:t>
      </w:r>
      <w:r w:rsidR="00C561D7" w:rsidRPr="005825D4">
        <w:t xml:space="preserve">National Party rule in South Africa. </w:t>
      </w:r>
      <w:r w:rsidRPr="005825D4">
        <w:t xml:space="preserve">A short </w:t>
      </w:r>
      <w:r w:rsidR="00986442" w:rsidRPr="005825D4">
        <w:t>time after the article was written, Mr Qwelane was appointed S</w:t>
      </w:r>
      <w:r w:rsidR="00C561D7" w:rsidRPr="005825D4">
        <w:t xml:space="preserve">outh Africa’s High Commissioner in Kampala, Uganda. </w:t>
      </w:r>
      <w:r w:rsidR="00986442" w:rsidRPr="005825D4">
        <w:t>H</w:t>
      </w:r>
      <w:r w:rsidR="00A37626" w:rsidRPr="005825D4">
        <w:t>is term of office ended in 2013</w:t>
      </w:r>
      <w:r w:rsidR="00986442" w:rsidRPr="005825D4">
        <w:t xml:space="preserve">. </w:t>
      </w:r>
      <w:r w:rsidR="000311BA" w:rsidRPr="005825D4">
        <w:t xml:space="preserve">Mr Qwelane wrote the article as a columnist for the Sunday Sun. The article was </w:t>
      </w:r>
      <w:r w:rsidR="00186EA3" w:rsidRPr="005825D4">
        <w:t>captioned</w:t>
      </w:r>
      <w:r w:rsidR="000311BA" w:rsidRPr="005825D4">
        <w:t xml:space="preserve"> ‘Call me names – but gay is </w:t>
      </w:r>
      <w:r w:rsidR="00186EA3" w:rsidRPr="005825D4">
        <w:t>NOT</w:t>
      </w:r>
      <w:r w:rsidR="000311BA" w:rsidRPr="005825D4">
        <w:t xml:space="preserve"> okay</w:t>
      </w:r>
      <w:r w:rsidR="00186EA3" w:rsidRPr="005825D4">
        <w:t>. . .</w:t>
      </w:r>
      <w:r w:rsidR="000311BA" w:rsidRPr="005825D4">
        <w:t xml:space="preserve">’. </w:t>
      </w:r>
      <w:r w:rsidR="00986442" w:rsidRPr="005825D4">
        <w:t>The offensive part appears hereunder:</w:t>
      </w:r>
      <w:r w:rsidR="000311BA" w:rsidRPr="005825D4">
        <w:t xml:space="preserve"> </w:t>
      </w:r>
    </w:p>
    <w:p w:rsidR="000311BA" w:rsidRPr="005825D4" w:rsidRDefault="00986442" w:rsidP="00A722C4">
      <w:pPr>
        <w:spacing w:line="360" w:lineRule="auto"/>
        <w:rPr>
          <w:sz w:val="22"/>
        </w:rPr>
      </w:pPr>
      <w:r w:rsidRPr="005825D4">
        <w:rPr>
          <w:sz w:val="22"/>
        </w:rPr>
        <w:t>‘The real problem, as I see it, is</w:t>
      </w:r>
      <w:r w:rsidR="00BE3DA4" w:rsidRPr="005825D4">
        <w:rPr>
          <w:sz w:val="22"/>
        </w:rPr>
        <w:t xml:space="preserve"> the</w:t>
      </w:r>
      <w:r w:rsidRPr="005825D4">
        <w:rPr>
          <w:sz w:val="22"/>
        </w:rPr>
        <w:t xml:space="preserve"> rapid degradation of values and traditions by the so-called liberal influences of nowadays; you regularly see men kissing other men in public, walking holding hands and shamelessly flaunting what are misleadingly termed their “lifestyle” and “sexual preferences”. There could be a few things I could take issue with</w:t>
      </w:r>
      <w:r w:rsidR="00B231D3" w:rsidRPr="005825D4">
        <w:rPr>
          <w:sz w:val="22"/>
        </w:rPr>
        <w:t xml:space="preserve"> Zimbabwean</w:t>
      </w:r>
      <w:r w:rsidR="00BE3DA4" w:rsidRPr="005825D4">
        <w:rPr>
          <w:sz w:val="22"/>
        </w:rPr>
        <w:t xml:space="preserve"> President</w:t>
      </w:r>
      <w:r w:rsidR="00B231D3" w:rsidRPr="005825D4">
        <w:rPr>
          <w:sz w:val="22"/>
        </w:rPr>
        <w:t xml:space="preserve"> Robert Mugabe,</w:t>
      </w:r>
      <w:r w:rsidRPr="005825D4">
        <w:rPr>
          <w:sz w:val="22"/>
        </w:rPr>
        <w:t xml:space="preserve"> but his unflinching and unapologetic stance over homosexua</w:t>
      </w:r>
      <w:r w:rsidR="00B231D3" w:rsidRPr="005825D4">
        <w:rPr>
          <w:sz w:val="22"/>
        </w:rPr>
        <w:t>ls is definitely not among those. Why</w:t>
      </w:r>
      <w:r w:rsidR="00BE3DA4" w:rsidRPr="005825D4">
        <w:rPr>
          <w:sz w:val="22"/>
        </w:rPr>
        <w:t>,</w:t>
      </w:r>
      <w:r w:rsidR="00B231D3" w:rsidRPr="005825D4">
        <w:rPr>
          <w:sz w:val="22"/>
        </w:rPr>
        <w:t xml:space="preserve"> only this month – you’d better believe this – a man, in a homosexual relationship with another man, gave birth to a child!</w:t>
      </w:r>
      <w:r w:rsidR="00224C11" w:rsidRPr="005825D4">
        <w:rPr>
          <w:sz w:val="22"/>
        </w:rPr>
        <w:t xml:space="preserve"> At least the so-called husband in that relationship hit the jackpot, making me wonder what it is these people have against the natural order of things.</w:t>
      </w:r>
      <w:r w:rsidR="00B231D3" w:rsidRPr="005825D4">
        <w:rPr>
          <w:sz w:val="22"/>
        </w:rPr>
        <w:t xml:space="preserve"> And by the way, please tell the Human Rights Commission that I totally refuse to withdraw or apologise for my views</w:t>
      </w:r>
      <w:r w:rsidR="00BE3DA4" w:rsidRPr="005825D4">
        <w:rPr>
          <w:sz w:val="22"/>
        </w:rPr>
        <w:t>.</w:t>
      </w:r>
      <w:r w:rsidR="00B231D3" w:rsidRPr="005825D4">
        <w:rPr>
          <w:sz w:val="22"/>
        </w:rPr>
        <w:t xml:space="preserve"> . . . Homosexuals and their backers will call me names, printable and not, for stating as I have always done</w:t>
      </w:r>
      <w:r w:rsidR="00224C11" w:rsidRPr="005825D4">
        <w:rPr>
          <w:sz w:val="22"/>
        </w:rPr>
        <w:t xml:space="preserve"> my </w:t>
      </w:r>
      <w:r w:rsidR="00186EA3" w:rsidRPr="005825D4">
        <w:rPr>
          <w:sz w:val="22"/>
        </w:rPr>
        <w:t xml:space="preserve">serious </w:t>
      </w:r>
      <w:r w:rsidR="00224C11" w:rsidRPr="005825D4">
        <w:rPr>
          <w:sz w:val="22"/>
        </w:rPr>
        <w:t>reservations about</w:t>
      </w:r>
      <w:r w:rsidR="00B231D3" w:rsidRPr="005825D4">
        <w:rPr>
          <w:sz w:val="22"/>
        </w:rPr>
        <w:t xml:space="preserve"> their “lifestyle and sexual preferences”, but quite frankly I don’t give a damn: wrong is wrong! I do pray that some day a bunch of politicians with their heads affixed firmly to their necks will m</w:t>
      </w:r>
      <w:r w:rsidR="00186EA3" w:rsidRPr="005825D4">
        <w:rPr>
          <w:sz w:val="22"/>
        </w:rPr>
        <w:t>uster the balls to rewrite the c</w:t>
      </w:r>
      <w:r w:rsidR="00B231D3" w:rsidRPr="005825D4">
        <w:rPr>
          <w:sz w:val="22"/>
        </w:rPr>
        <w:t>onstitution of this country, to excise those sections which give licence to men “marrying” other men, and ditto women. Otherwise, at this rate, how soon before some idiot demands to “marry” a</w:t>
      </w:r>
      <w:r w:rsidR="00186EA3" w:rsidRPr="005825D4">
        <w:rPr>
          <w:sz w:val="22"/>
        </w:rPr>
        <w:t>n animal, and argues that this c</w:t>
      </w:r>
      <w:r w:rsidR="00B231D3" w:rsidRPr="005825D4">
        <w:rPr>
          <w:sz w:val="22"/>
        </w:rPr>
        <w:t xml:space="preserve">onstitution “allows” it?’ </w:t>
      </w:r>
    </w:p>
    <w:p w:rsidR="000311BA" w:rsidRPr="005825D4" w:rsidRDefault="000311BA" w:rsidP="00A722C4">
      <w:pPr>
        <w:spacing w:line="360" w:lineRule="auto"/>
      </w:pPr>
    </w:p>
    <w:p w:rsidR="009C623B" w:rsidRPr="005825D4" w:rsidRDefault="00902D51" w:rsidP="00A722C4">
      <w:pPr>
        <w:spacing w:line="360" w:lineRule="auto"/>
        <w:rPr>
          <w:bCs/>
        </w:rPr>
      </w:pPr>
      <w:r w:rsidRPr="005825D4">
        <w:lastRenderedPageBreak/>
        <w:t>[5</w:t>
      </w:r>
      <w:r w:rsidR="000311BA" w:rsidRPr="005825D4">
        <w:t>]</w:t>
      </w:r>
      <w:r w:rsidR="000311BA" w:rsidRPr="005825D4">
        <w:tab/>
      </w:r>
      <w:r w:rsidR="005118F4" w:rsidRPr="005825D4">
        <w:t>A cartoon appeared on the same page</w:t>
      </w:r>
      <w:r w:rsidR="00F46B21" w:rsidRPr="005825D4">
        <w:t xml:space="preserve"> as the column</w:t>
      </w:r>
      <w:r w:rsidR="00BE3DA4" w:rsidRPr="005825D4">
        <w:t xml:space="preserve">, depicting a man on his knees alongside </w:t>
      </w:r>
      <w:r w:rsidR="005118F4" w:rsidRPr="005825D4">
        <w:t>a goat</w:t>
      </w:r>
      <w:r w:rsidR="00BE3DA4" w:rsidRPr="005825D4">
        <w:t>,</w:t>
      </w:r>
      <w:r w:rsidR="005118F4" w:rsidRPr="005825D4">
        <w:t xml:space="preserve"> appearing in front of a priest to be married. The caption </w:t>
      </w:r>
      <w:r w:rsidR="00BE3DA4" w:rsidRPr="005825D4">
        <w:t xml:space="preserve">above the man and the goat reads: </w:t>
      </w:r>
      <w:r w:rsidR="005118F4" w:rsidRPr="005825D4">
        <w:t>‘When hu</w:t>
      </w:r>
      <w:r w:rsidR="0055371A" w:rsidRPr="005825D4">
        <w:t>man rights meet animal rights</w:t>
      </w:r>
      <w:r w:rsidR="00BE3DA4" w:rsidRPr="005825D4">
        <w:t>’</w:t>
      </w:r>
      <w:r w:rsidR="0055371A" w:rsidRPr="005825D4">
        <w:t>.</w:t>
      </w:r>
      <w:r w:rsidR="005118F4" w:rsidRPr="005825D4">
        <w:t xml:space="preserve"> </w:t>
      </w:r>
      <w:r w:rsidR="00BE3DA4" w:rsidRPr="005825D4">
        <w:t xml:space="preserve">The text inside a speech balloon attaching to the priest reads: ‘I now pronounce you, man and goat’. </w:t>
      </w:r>
      <w:r w:rsidR="005118F4" w:rsidRPr="005825D4">
        <w:rPr>
          <w:bCs/>
        </w:rPr>
        <w:t xml:space="preserve">It is common cause that the </w:t>
      </w:r>
      <w:r w:rsidR="003428CB" w:rsidRPr="005825D4">
        <w:rPr>
          <w:bCs/>
        </w:rPr>
        <w:t>appellant</w:t>
      </w:r>
      <w:r w:rsidR="005118F4" w:rsidRPr="005825D4">
        <w:rPr>
          <w:bCs/>
        </w:rPr>
        <w:t xml:space="preserve"> was not the author or creator of the cartoon, nor was it shown to him for approval before it was published. </w:t>
      </w:r>
    </w:p>
    <w:p w:rsidR="005118F4" w:rsidRPr="005825D4" w:rsidRDefault="005118F4" w:rsidP="00A722C4">
      <w:pPr>
        <w:spacing w:line="360" w:lineRule="auto"/>
        <w:rPr>
          <w:bCs/>
        </w:rPr>
      </w:pPr>
    </w:p>
    <w:p w:rsidR="00F31439" w:rsidRPr="005825D4" w:rsidRDefault="00902D51" w:rsidP="00A722C4">
      <w:pPr>
        <w:spacing w:line="360" w:lineRule="auto"/>
        <w:rPr>
          <w:bCs/>
        </w:rPr>
      </w:pPr>
      <w:r w:rsidRPr="005825D4">
        <w:rPr>
          <w:bCs/>
        </w:rPr>
        <w:t>[6</w:t>
      </w:r>
      <w:r w:rsidR="005118F4" w:rsidRPr="005825D4">
        <w:rPr>
          <w:bCs/>
        </w:rPr>
        <w:t>]</w:t>
      </w:r>
      <w:r w:rsidR="005118F4" w:rsidRPr="005825D4">
        <w:rPr>
          <w:bCs/>
        </w:rPr>
        <w:tab/>
      </w:r>
      <w:r w:rsidR="00BE3DA4" w:rsidRPr="005825D4">
        <w:rPr>
          <w:bCs/>
        </w:rPr>
        <w:t xml:space="preserve">The publication was met with </w:t>
      </w:r>
      <w:r w:rsidR="005118F4" w:rsidRPr="005825D4">
        <w:rPr>
          <w:bCs/>
        </w:rPr>
        <w:t>a huge public outcry, with expressions of outrage and disgust. The first respondent, the South African Human Rights C</w:t>
      </w:r>
      <w:r w:rsidR="00F46B21" w:rsidRPr="005825D4">
        <w:rPr>
          <w:bCs/>
        </w:rPr>
        <w:t>ommission (the HRC), which,</w:t>
      </w:r>
      <w:r w:rsidR="005118F4" w:rsidRPr="005825D4">
        <w:rPr>
          <w:bCs/>
        </w:rPr>
        <w:t xml:space="preserve"> in terms of </w:t>
      </w:r>
      <w:r w:rsidR="00B978A4" w:rsidRPr="005825D4">
        <w:rPr>
          <w:bCs/>
        </w:rPr>
        <w:t>s </w:t>
      </w:r>
      <w:r w:rsidR="00224C11" w:rsidRPr="005825D4">
        <w:rPr>
          <w:bCs/>
        </w:rPr>
        <w:t>184 of the Constitution</w:t>
      </w:r>
      <w:r w:rsidR="00C63B74" w:rsidRPr="005825D4">
        <w:rPr>
          <w:bCs/>
        </w:rPr>
        <w:t xml:space="preserve"> has</w:t>
      </w:r>
      <w:r w:rsidR="00224C11" w:rsidRPr="005825D4">
        <w:rPr>
          <w:bCs/>
        </w:rPr>
        <w:t xml:space="preserve">, amongst others, </w:t>
      </w:r>
      <w:r w:rsidR="005118F4" w:rsidRPr="005825D4">
        <w:rPr>
          <w:bCs/>
        </w:rPr>
        <w:t xml:space="preserve">the obligation to promote the protection, development and attainment of human rights, received </w:t>
      </w:r>
      <w:r w:rsidR="001C047B" w:rsidRPr="005825D4">
        <w:rPr>
          <w:bCs/>
        </w:rPr>
        <w:t>350</w:t>
      </w:r>
      <w:r w:rsidR="005118F4" w:rsidRPr="005825D4">
        <w:rPr>
          <w:bCs/>
        </w:rPr>
        <w:t xml:space="preserve"> complaints concerning the article and cartoon</w:t>
      </w:r>
      <w:r w:rsidR="00B231D3" w:rsidRPr="005825D4">
        <w:rPr>
          <w:bCs/>
        </w:rPr>
        <w:t>.</w:t>
      </w:r>
      <w:r w:rsidR="00F31439" w:rsidRPr="005825D4">
        <w:rPr>
          <w:bCs/>
        </w:rPr>
        <w:t xml:space="preserve"> The press ombud also received complaints concerning the article and cartoon. He conducted an investigation against Mr Qwelane and Media24, a public company that owns the Sunday Sun. </w:t>
      </w:r>
    </w:p>
    <w:p w:rsidR="001C5FFF" w:rsidRPr="005825D4" w:rsidRDefault="001C5FFF" w:rsidP="00A722C4">
      <w:pPr>
        <w:spacing w:line="360" w:lineRule="auto"/>
        <w:rPr>
          <w:bCs/>
        </w:rPr>
      </w:pPr>
    </w:p>
    <w:p w:rsidR="005118F4" w:rsidRPr="005825D4" w:rsidRDefault="00902D51" w:rsidP="00A722C4">
      <w:pPr>
        <w:spacing w:line="360" w:lineRule="auto"/>
        <w:rPr>
          <w:bCs/>
        </w:rPr>
      </w:pPr>
      <w:r w:rsidRPr="005825D4">
        <w:rPr>
          <w:bCs/>
        </w:rPr>
        <w:t>[7</w:t>
      </w:r>
      <w:r w:rsidR="005118F4" w:rsidRPr="005825D4">
        <w:rPr>
          <w:bCs/>
        </w:rPr>
        <w:t>]</w:t>
      </w:r>
      <w:r w:rsidR="005118F4" w:rsidRPr="005825D4">
        <w:rPr>
          <w:bCs/>
        </w:rPr>
        <w:tab/>
      </w:r>
      <w:r w:rsidR="00FE3361" w:rsidRPr="005825D4">
        <w:rPr>
          <w:bCs/>
        </w:rPr>
        <w:t xml:space="preserve">A common refrain in the complaints </w:t>
      </w:r>
      <w:r w:rsidR="00626949" w:rsidRPr="005825D4">
        <w:rPr>
          <w:bCs/>
        </w:rPr>
        <w:t xml:space="preserve">lodged with the press ombud and the HRC </w:t>
      </w:r>
      <w:r w:rsidR="00FE3361" w:rsidRPr="005825D4">
        <w:rPr>
          <w:bCs/>
        </w:rPr>
        <w:t>was that the article and the cartoon amounted to hate speech</w:t>
      </w:r>
      <w:r w:rsidR="00626949" w:rsidRPr="005825D4">
        <w:rPr>
          <w:bCs/>
        </w:rPr>
        <w:t xml:space="preserve">. It was contended that the hate speech complained of discriminated against the gay community based on sexual orientation and marital status. The article, so it was </w:t>
      </w:r>
      <w:r w:rsidR="004C3409" w:rsidRPr="005825D4">
        <w:rPr>
          <w:bCs/>
        </w:rPr>
        <w:t>asserted</w:t>
      </w:r>
      <w:r w:rsidR="00626949" w:rsidRPr="005825D4">
        <w:rPr>
          <w:bCs/>
        </w:rPr>
        <w:t xml:space="preserve">, </w:t>
      </w:r>
      <w:r w:rsidR="00FE3361" w:rsidRPr="005825D4">
        <w:rPr>
          <w:bCs/>
        </w:rPr>
        <w:t xml:space="preserve">advocated hatred against a particular group of people, </w:t>
      </w:r>
      <w:r w:rsidR="00AA1C13" w:rsidRPr="005825D4">
        <w:rPr>
          <w:bCs/>
        </w:rPr>
        <w:t>namely</w:t>
      </w:r>
      <w:r w:rsidR="00FE3361" w:rsidRPr="005825D4">
        <w:rPr>
          <w:bCs/>
        </w:rPr>
        <w:t>, homosexuals</w:t>
      </w:r>
      <w:r w:rsidR="00626949" w:rsidRPr="005825D4">
        <w:rPr>
          <w:bCs/>
        </w:rPr>
        <w:t>,</w:t>
      </w:r>
      <w:r w:rsidR="00224C11" w:rsidRPr="005825D4">
        <w:rPr>
          <w:bCs/>
        </w:rPr>
        <w:t xml:space="preserve"> </w:t>
      </w:r>
      <w:r w:rsidR="004C3409" w:rsidRPr="005825D4">
        <w:rPr>
          <w:bCs/>
        </w:rPr>
        <w:t>was</w:t>
      </w:r>
      <w:r w:rsidR="00FE3361" w:rsidRPr="005825D4">
        <w:rPr>
          <w:bCs/>
        </w:rPr>
        <w:t xml:space="preserve"> intended to be hurtful, harmful, incite harm, and promote or propagate hatred</w:t>
      </w:r>
      <w:r w:rsidR="00626949" w:rsidRPr="005825D4">
        <w:rPr>
          <w:bCs/>
        </w:rPr>
        <w:t>. It</w:t>
      </w:r>
      <w:r w:rsidR="00FE3361" w:rsidRPr="005825D4">
        <w:rPr>
          <w:bCs/>
        </w:rPr>
        <w:t xml:space="preserve"> </w:t>
      </w:r>
      <w:r w:rsidR="004C3409" w:rsidRPr="005825D4">
        <w:rPr>
          <w:bCs/>
        </w:rPr>
        <w:t xml:space="preserve">was </w:t>
      </w:r>
      <w:r w:rsidR="006C2050" w:rsidRPr="005825D4">
        <w:rPr>
          <w:bCs/>
        </w:rPr>
        <w:t>said</w:t>
      </w:r>
      <w:r w:rsidR="004C3409" w:rsidRPr="005825D4">
        <w:rPr>
          <w:bCs/>
        </w:rPr>
        <w:t xml:space="preserve"> that the article </w:t>
      </w:r>
      <w:r w:rsidR="00FE3361" w:rsidRPr="005825D4">
        <w:rPr>
          <w:bCs/>
        </w:rPr>
        <w:t>infringe</w:t>
      </w:r>
      <w:r w:rsidR="00626949" w:rsidRPr="005825D4">
        <w:rPr>
          <w:bCs/>
        </w:rPr>
        <w:t>d</w:t>
      </w:r>
      <w:r w:rsidR="00FE3361" w:rsidRPr="005825D4">
        <w:rPr>
          <w:bCs/>
        </w:rPr>
        <w:t xml:space="preserve"> upon various constitutionally guaranteed human rights and freedoms of homosexuals; and </w:t>
      </w:r>
      <w:r w:rsidR="00626949" w:rsidRPr="005825D4">
        <w:rPr>
          <w:bCs/>
        </w:rPr>
        <w:t>sought</w:t>
      </w:r>
      <w:r w:rsidR="00FE3361" w:rsidRPr="005825D4">
        <w:rPr>
          <w:bCs/>
        </w:rPr>
        <w:t xml:space="preserve"> to demoralise homosexuals by drawing a comparison between homosexuality and bestiality, and by implication, dehumanising and ‘criminalising’ homosexuals.</w:t>
      </w:r>
    </w:p>
    <w:p w:rsidR="00F31439" w:rsidRPr="005825D4" w:rsidRDefault="00F31439" w:rsidP="00A722C4">
      <w:pPr>
        <w:spacing w:line="360" w:lineRule="auto"/>
        <w:rPr>
          <w:bCs/>
        </w:rPr>
      </w:pPr>
    </w:p>
    <w:p w:rsidR="00F31439" w:rsidRPr="005825D4" w:rsidRDefault="00902D51" w:rsidP="00A722C4">
      <w:pPr>
        <w:spacing w:line="360" w:lineRule="auto"/>
        <w:rPr>
          <w:bCs/>
        </w:rPr>
      </w:pPr>
      <w:r w:rsidRPr="005825D4">
        <w:rPr>
          <w:bCs/>
        </w:rPr>
        <w:t>[8</w:t>
      </w:r>
      <w:r w:rsidR="001C1A4C" w:rsidRPr="005825D4">
        <w:rPr>
          <w:bCs/>
        </w:rPr>
        <w:t>]</w:t>
      </w:r>
      <w:r w:rsidR="001C1A4C" w:rsidRPr="005825D4">
        <w:rPr>
          <w:bCs/>
        </w:rPr>
        <w:tab/>
      </w:r>
      <w:r w:rsidR="00F31439" w:rsidRPr="005825D4">
        <w:rPr>
          <w:bCs/>
        </w:rPr>
        <w:t xml:space="preserve">The press ombud, after considering the complaint against the Sunday Sun, held that the newspaper was in breach of section </w:t>
      </w:r>
      <w:r w:rsidR="0055371A" w:rsidRPr="005825D4">
        <w:rPr>
          <w:bCs/>
        </w:rPr>
        <w:t>2.1 of the South African Press C</w:t>
      </w:r>
      <w:r w:rsidR="00F31439" w:rsidRPr="005825D4">
        <w:rPr>
          <w:bCs/>
        </w:rPr>
        <w:t>ode on three counts.</w:t>
      </w:r>
      <w:r w:rsidR="00F31439" w:rsidRPr="005825D4">
        <w:rPr>
          <w:rStyle w:val="FootnoteReference"/>
          <w:bCs/>
        </w:rPr>
        <w:footnoteReference w:id="4"/>
      </w:r>
      <w:r w:rsidR="00F31439" w:rsidRPr="005825D4">
        <w:rPr>
          <w:bCs/>
        </w:rPr>
        <w:t xml:space="preserve"> The press ombud considered that the newspaper had, to some degree, made amends by publishing a poster proclaiming that Mr Qwelane had taken a beating</w:t>
      </w:r>
      <w:r w:rsidR="00BE3DA4" w:rsidRPr="005825D4">
        <w:rPr>
          <w:bCs/>
        </w:rPr>
        <w:t>,</w:t>
      </w:r>
      <w:r w:rsidR="00F31439" w:rsidRPr="005825D4">
        <w:rPr>
          <w:bCs/>
        </w:rPr>
        <w:t xml:space="preserve"> together </w:t>
      </w:r>
      <w:r w:rsidR="00F31439" w:rsidRPr="005825D4">
        <w:rPr>
          <w:bCs/>
        </w:rPr>
        <w:lastRenderedPageBreak/>
        <w:t xml:space="preserve">with a flag on its front page to the same effect, as well as publishing a page of letters </w:t>
      </w:r>
      <w:r w:rsidR="004C3409" w:rsidRPr="005825D4">
        <w:rPr>
          <w:bCs/>
        </w:rPr>
        <w:t xml:space="preserve">from the public </w:t>
      </w:r>
      <w:r w:rsidR="00F31439" w:rsidRPr="005825D4">
        <w:rPr>
          <w:bCs/>
        </w:rPr>
        <w:t xml:space="preserve">condemning the column. Consequently, the press ombud ruled that the Sunday Sun should </w:t>
      </w:r>
      <w:r w:rsidR="00BE3DA4" w:rsidRPr="005825D4">
        <w:rPr>
          <w:bCs/>
        </w:rPr>
        <w:t xml:space="preserve">‘complete the amends by </w:t>
      </w:r>
      <w:r w:rsidR="00F31439" w:rsidRPr="005825D4">
        <w:rPr>
          <w:bCs/>
        </w:rPr>
        <w:t>publish</w:t>
      </w:r>
      <w:r w:rsidR="00BE3DA4" w:rsidRPr="005825D4">
        <w:rPr>
          <w:bCs/>
        </w:rPr>
        <w:t>ing</w:t>
      </w:r>
      <w:r w:rsidR="00F31439" w:rsidRPr="005825D4">
        <w:rPr>
          <w:bCs/>
        </w:rPr>
        <w:t xml:space="preserve"> an appropriate apology</w:t>
      </w:r>
      <w:r w:rsidR="00BE3DA4" w:rsidRPr="005825D4">
        <w:rPr>
          <w:bCs/>
        </w:rPr>
        <w:t>’</w:t>
      </w:r>
      <w:r w:rsidR="00F31439" w:rsidRPr="005825D4">
        <w:rPr>
          <w:bCs/>
        </w:rPr>
        <w:t xml:space="preserve"> in the form provided by </w:t>
      </w:r>
      <w:r w:rsidR="00BE3DA4" w:rsidRPr="005825D4">
        <w:rPr>
          <w:bCs/>
        </w:rPr>
        <w:t>the Ombudsman’s</w:t>
      </w:r>
      <w:r w:rsidR="00F31439" w:rsidRPr="005825D4">
        <w:rPr>
          <w:bCs/>
        </w:rPr>
        <w:t xml:space="preserve"> office. The apology was duly published. The press and media appeals panel refused the HRC leave to appeal. </w:t>
      </w:r>
    </w:p>
    <w:p w:rsidR="00F31439" w:rsidRPr="005825D4" w:rsidRDefault="00F31439" w:rsidP="00A722C4">
      <w:pPr>
        <w:spacing w:line="360" w:lineRule="auto"/>
        <w:rPr>
          <w:bCs/>
        </w:rPr>
      </w:pPr>
    </w:p>
    <w:p w:rsidR="00F31439" w:rsidRPr="005825D4" w:rsidRDefault="00902D51" w:rsidP="00A722C4">
      <w:pPr>
        <w:spacing w:line="360" w:lineRule="auto"/>
        <w:rPr>
          <w:bCs/>
        </w:rPr>
      </w:pPr>
      <w:r w:rsidRPr="005825D4">
        <w:rPr>
          <w:bCs/>
        </w:rPr>
        <w:t>[9</w:t>
      </w:r>
      <w:r w:rsidR="00AC019C" w:rsidRPr="005825D4">
        <w:rPr>
          <w:bCs/>
        </w:rPr>
        <w:t>]</w:t>
      </w:r>
      <w:r w:rsidR="00AC019C" w:rsidRPr="005825D4">
        <w:rPr>
          <w:bCs/>
        </w:rPr>
        <w:tab/>
      </w:r>
      <w:r w:rsidR="00F31439" w:rsidRPr="005825D4">
        <w:rPr>
          <w:bCs/>
        </w:rPr>
        <w:t>In terms of s</w:t>
      </w:r>
      <w:r w:rsidR="00B978A4" w:rsidRPr="005825D4">
        <w:rPr>
          <w:bCs/>
        </w:rPr>
        <w:t> </w:t>
      </w:r>
      <w:r w:rsidR="00F31439" w:rsidRPr="005825D4">
        <w:rPr>
          <w:bCs/>
        </w:rPr>
        <w:t>184(2) of the Constitution the HRC has additional powers and functions as prescribed by national legislation. Section 20(1)</w:t>
      </w:r>
      <w:r w:rsidR="00F31439" w:rsidRPr="005825D4">
        <w:rPr>
          <w:bCs/>
          <w:i/>
        </w:rPr>
        <w:t>(f)</w:t>
      </w:r>
      <w:r w:rsidR="00F31439" w:rsidRPr="005825D4">
        <w:rPr>
          <w:bCs/>
        </w:rPr>
        <w:t xml:space="preserve"> of </w:t>
      </w:r>
      <w:r w:rsidR="005C68F3" w:rsidRPr="005825D4">
        <w:rPr>
          <w:bCs/>
        </w:rPr>
        <w:t>PEPUDA</w:t>
      </w:r>
      <w:r w:rsidR="00F31439" w:rsidRPr="005825D4">
        <w:rPr>
          <w:bCs/>
        </w:rPr>
        <w:t xml:space="preserve"> give</w:t>
      </w:r>
      <w:r w:rsidR="00143A19" w:rsidRPr="005825D4">
        <w:rPr>
          <w:bCs/>
        </w:rPr>
        <w:t>s</w:t>
      </w:r>
      <w:r w:rsidR="00F31439" w:rsidRPr="005825D4">
        <w:rPr>
          <w:bCs/>
        </w:rPr>
        <w:t xml:space="preserve"> the HRC the power to institute proceedings in the equality court. Section 2</w:t>
      </w:r>
      <w:r w:rsidR="00F31439" w:rsidRPr="005825D4">
        <w:rPr>
          <w:bCs/>
          <w:i/>
        </w:rPr>
        <w:t>(f)</w:t>
      </w:r>
      <w:r w:rsidR="00F31439" w:rsidRPr="005825D4">
        <w:rPr>
          <w:bCs/>
        </w:rPr>
        <w:t xml:space="preserve"> of PEPUDA provides that one of its objects is ‘to provide remedies for victims of unfair discrimination, hate speech and harassment and </w:t>
      </w:r>
      <w:r w:rsidR="002F0595" w:rsidRPr="005825D4">
        <w:rPr>
          <w:bCs/>
        </w:rPr>
        <w:t>persons</w:t>
      </w:r>
      <w:r w:rsidR="00F31439" w:rsidRPr="005825D4">
        <w:rPr>
          <w:bCs/>
        </w:rPr>
        <w:t xml:space="preserve"> whose right to equality has been infringed’.</w:t>
      </w:r>
    </w:p>
    <w:p w:rsidR="002F0595" w:rsidRPr="005825D4" w:rsidRDefault="002F0595" w:rsidP="00A722C4">
      <w:pPr>
        <w:spacing w:line="360" w:lineRule="auto"/>
        <w:rPr>
          <w:bCs/>
        </w:rPr>
      </w:pPr>
    </w:p>
    <w:p w:rsidR="006067FC" w:rsidRPr="005825D4" w:rsidRDefault="00902D51" w:rsidP="00A722C4">
      <w:pPr>
        <w:spacing w:line="360" w:lineRule="auto"/>
        <w:rPr>
          <w:bCs/>
        </w:rPr>
      </w:pPr>
      <w:r w:rsidRPr="005825D4">
        <w:rPr>
          <w:bCs/>
        </w:rPr>
        <w:t>[10</w:t>
      </w:r>
      <w:r w:rsidR="002F0595" w:rsidRPr="005825D4">
        <w:rPr>
          <w:bCs/>
        </w:rPr>
        <w:t>]</w:t>
      </w:r>
      <w:r w:rsidR="002F0595" w:rsidRPr="005825D4">
        <w:rPr>
          <w:bCs/>
        </w:rPr>
        <w:tab/>
      </w:r>
      <w:r w:rsidR="00872A6D" w:rsidRPr="005825D4">
        <w:rPr>
          <w:bCs/>
        </w:rPr>
        <w:t xml:space="preserve">The powers of the </w:t>
      </w:r>
      <w:r w:rsidR="00B978A4" w:rsidRPr="005825D4">
        <w:rPr>
          <w:bCs/>
        </w:rPr>
        <w:t>equality court, as set out in s </w:t>
      </w:r>
      <w:r w:rsidR="00872A6D" w:rsidRPr="005825D4">
        <w:rPr>
          <w:bCs/>
        </w:rPr>
        <w:t>21 of PEPUDA, are extensive. The equality court</w:t>
      </w:r>
      <w:r w:rsidR="005B3C93" w:rsidRPr="005825D4">
        <w:rPr>
          <w:bCs/>
        </w:rPr>
        <w:t xml:space="preserve"> has</w:t>
      </w:r>
      <w:r w:rsidR="00872A6D" w:rsidRPr="005825D4">
        <w:rPr>
          <w:bCs/>
        </w:rPr>
        <w:t>, inter alia, the power to make declaratory orders,</w:t>
      </w:r>
      <w:r w:rsidR="00BE3DA4" w:rsidRPr="005825D4">
        <w:rPr>
          <w:rStyle w:val="FootnoteReference"/>
          <w:bCs/>
        </w:rPr>
        <w:footnoteReference w:id="5"/>
      </w:r>
      <w:r w:rsidR="00872A6D" w:rsidRPr="005825D4">
        <w:rPr>
          <w:bCs/>
        </w:rPr>
        <w:t xml:space="preserve"> order the payment of compensation,</w:t>
      </w:r>
      <w:r w:rsidR="00BE3DA4" w:rsidRPr="005825D4">
        <w:rPr>
          <w:rStyle w:val="FootnoteReference"/>
          <w:bCs/>
        </w:rPr>
        <w:footnoteReference w:id="6"/>
      </w:r>
      <w:r w:rsidR="00872A6D" w:rsidRPr="005825D4">
        <w:rPr>
          <w:bCs/>
        </w:rPr>
        <w:t xml:space="preserve"> make orders concerning remedial steps to be taken by persons who have engaged in unfair discriminatory practices</w:t>
      </w:r>
      <w:r w:rsidR="00BE3DA4" w:rsidRPr="005825D4">
        <w:rPr>
          <w:rStyle w:val="FootnoteReference"/>
          <w:bCs/>
        </w:rPr>
        <w:footnoteReference w:id="7"/>
      </w:r>
      <w:r w:rsidR="00872A6D" w:rsidRPr="005825D4">
        <w:rPr>
          <w:bCs/>
        </w:rPr>
        <w:t xml:space="preserve"> and </w:t>
      </w:r>
      <w:r w:rsidR="00BE3DA4" w:rsidRPr="005825D4">
        <w:rPr>
          <w:bCs/>
        </w:rPr>
        <w:t xml:space="preserve">to </w:t>
      </w:r>
      <w:r w:rsidR="002F0595" w:rsidRPr="005825D4">
        <w:rPr>
          <w:bCs/>
        </w:rPr>
        <w:t xml:space="preserve">direct </w:t>
      </w:r>
      <w:r w:rsidR="00872A6D" w:rsidRPr="005825D4">
        <w:rPr>
          <w:bCs/>
        </w:rPr>
        <w:t>that an unconditional apology be rendered.</w:t>
      </w:r>
      <w:r w:rsidR="009A11B1" w:rsidRPr="005825D4">
        <w:rPr>
          <w:rStyle w:val="FootnoteReference"/>
          <w:bCs/>
        </w:rPr>
        <w:footnoteReference w:id="8"/>
      </w:r>
      <w:r w:rsidR="00872A6D" w:rsidRPr="005825D4">
        <w:rPr>
          <w:bCs/>
        </w:rPr>
        <w:t xml:space="preserve"> The equality court also has the power to make an order ‘directing the clerk of the equality court to submit the matter to the Director of Public Prosecutions having jurisdiction for the possible institution of criminal proceedings in terms of the common law or relevant legislation’.</w:t>
      </w:r>
      <w:r w:rsidR="009A11B1" w:rsidRPr="005825D4">
        <w:rPr>
          <w:rStyle w:val="FootnoteReference"/>
          <w:bCs/>
        </w:rPr>
        <w:footnoteReference w:id="9"/>
      </w:r>
      <w:r w:rsidR="00504C47" w:rsidRPr="005825D4">
        <w:rPr>
          <w:bCs/>
        </w:rPr>
        <w:t xml:space="preserve"> </w:t>
      </w:r>
    </w:p>
    <w:p w:rsidR="006067FC" w:rsidRPr="005825D4" w:rsidRDefault="006067FC" w:rsidP="00A722C4">
      <w:pPr>
        <w:spacing w:line="360" w:lineRule="auto"/>
        <w:rPr>
          <w:bCs/>
        </w:rPr>
      </w:pPr>
    </w:p>
    <w:p w:rsidR="006067FC" w:rsidRPr="005825D4" w:rsidRDefault="00902D51" w:rsidP="00A722C4">
      <w:pPr>
        <w:spacing w:line="360" w:lineRule="auto"/>
        <w:rPr>
          <w:bCs/>
        </w:rPr>
      </w:pPr>
      <w:r w:rsidRPr="005825D4">
        <w:rPr>
          <w:bCs/>
        </w:rPr>
        <w:t>[11</w:t>
      </w:r>
      <w:r w:rsidR="006067FC" w:rsidRPr="005825D4">
        <w:rPr>
          <w:bCs/>
        </w:rPr>
        <w:t>]</w:t>
      </w:r>
      <w:r w:rsidR="006067FC" w:rsidRPr="005825D4">
        <w:rPr>
          <w:bCs/>
        </w:rPr>
        <w:tab/>
        <w:t>The HRC instituted proceedings against Media24 and M</w:t>
      </w:r>
      <w:r w:rsidR="0055371A" w:rsidRPr="005825D4">
        <w:rPr>
          <w:bCs/>
        </w:rPr>
        <w:t xml:space="preserve">r Qwelane in the equality court, </w:t>
      </w:r>
      <w:r w:rsidR="009A11B1" w:rsidRPr="005825D4">
        <w:rPr>
          <w:bCs/>
        </w:rPr>
        <w:t>alleging</w:t>
      </w:r>
      <w:r w:rsidR="0055371A" w:rsidRPr="005825D4">
        <w:rPr>
          <w:bCs/>
        </w:rPr>
        <w:t xml:space="preserve"> that the article contravened</w:t>
      </w:r>
      <w:r w:rsidR="00B978A4" w:rsidRPr="005825D4">
        <w:rPr>
          <w:bCs/>
        </w:rPr>
        <w:t xml:space="preserve"> s </w:t>
      </w:r>
      <w:r w:rsidR="006067FC" w:rsidRPr="005825D4">
        <w:rPr>
          <w:bCs/>
        </w:rPr>
        <w:t xml:space="preserve">10(1) of </w:t>
      </w:r>
      <w:r w:rsidR="00A41D45" w:rsidRPr="005825D4">
        <w:rPr>
          <w:bCs/>
        </w:rPr>
        <w:t>PEPUDA</w:t>
      </w:r>
      <w:r w:rsidR="006067FC" w:rsidRPr="005825D4">
        <w:rPr>
          <w:bCs/>
        </w:rPr>
        <w:t>, the provisions of which read as follows:</w:t>
      </w:r>
    </w:p>
    <w:p w:rsidR="006067FC" w:rsidRPr="005825D4" w:rsidRDefault="006067FC" w:rsidP="00A722C4">
      <w:pPr>
        <w:spacing w:line="360" w:lineRule="auto"/>
        <w:rPr>
          <w:bCs/>
          <w:sz w:val="22"/>
        </w:rPr>
      </w:pPr>
      <w:r w:rsidRPr="005825D4">
        <w:rPr>
          <w:bCs/>
          <w:sz w:val="22"/>
        </w:rPr>
        <w:t xml:space="preserve">‘Subject to the proviso in section 12, no person may publish, propagate, advocate or communicate words based on one or more of the </w:t>
      </w:r>
      <w:r w:rsidRPr="005825D4">
        <w:rPr>
          <w:bCs/>
          <w:i/>
          <w:sz w:val="22"/>
        </w:rPr>
        <w:t>prohibited grounds</w:t>
      </w:r>
      <w:r w:rsidRPr="005825D4">
        <w:rPr>
          <w:bCs/>
          <w:sz w:val="22"/>
        </w:rPr>
        <w:t>, against any person, that could reasonably be construed to demonstrate a clear intention to –</w:t>
      </w:r>
    </w:p>
    <w:p w:rsidR="006067FC" w:rsidRPr="005825D4" w:rsidRDefault="006067FC" w:rsidP="00A722C4">
      <w:pPr>
        <w:spacing w:line="360" w:lineRule="auto"/>
        <w:rPr>
          <w:bCs/>
          <w:sz w:val="22"/>
        </w:rPr>
      </w:pPr>
      <w:r w:rsidRPr="005825D4">
        <w:rPr>
          <w:bCs/>
          <w:i/>
          <w:sz w:val="22"/>
        </w:rPr>
        <w:t>(a)</w:t>
      </w:r>
      <w:r w:rsidRPr="005825D4">
        <w:rPr>
          <w:bCs/>
          <w:sz w:val="22"/>
        </w:rPr>
        <w:t xml:space="preserve"> be hurtful;</w:t>
      </w:r>
    </w:p>
    <w:p w:rsidR="006067FC" w:rsidRPr="005825D4" w:rsidRDefault="006067FC" w:rsidP="00A722C4">
      <w:pPr>
        <w:spacing w:line="360" w:lineRule="auto"/>
        <w:rPr>
          <w:bCs/>
          <w:sz w:val="22"/>
        </w:rPr>
      </w:pPr>
      <w:r w:rsidRPr="005825D4">
        <w:rPr>
          <w:bCs/>
          <w:i/>
          <w:sz w:val="22"/>
        </w:rPr>
        <w:t>(b)</w:t>
      </w:r>
      <w:r w:rsidRPr="005825D4">
        <w:rPr>
          <w:bCs/>
          <w:sz w:val="22"/>
        </w:rPr>
        <w:t xml:space="preserve"> be harmful</w:t>
      </w:r>
      <w:r w:rsidR="009A11B1" w:rsidRPr="005825D4">
        <w:rPr>
          <w:bCs/>
          <w:sz w:val="22"/>
        </w:rPr>
        <w:t xml:space="preserve"> or to incite harm</w:t>
      </w:r>
      <w:r w:rsidRPr="005825D4">
        <w:rPr>
          <w:bCs/>
          <w:sz w:val="22"/>
        </w:rPr>
        <w:t xml:space="preserve">; </w:t>
      </w:r>
    </w:p>
    <w:p w:rsidR="006067FC" w:rsidRPr="005825D4" w:rsidRDefault="006067FC" w:rsidP="00A722C4">
      <w:pPr>
        <w:spacing w:line="360" w:lineRule="auto"/>
        <w:rPr>
          <w:bCs/>
          <w:sz w:val="22"/>
        </w:rPr>
      </w:pPr>
      <w:r w:rsidRPr="005825D4">
        <w:rPr>
          <w:bCs/>
          <w:i/>
          <w:sz w:val="22"/>
        </w:rPr>
        <w:lastRenderedPageBreak/>
        <w:t>(c)</w:t>
      </w:r>
      <w:r w:rsidRPr="005825D4">
        <w:rPr>
          <w:bCs/>
          <w:sz w:val="22"/>
        </w:rPr>
        <w:t xml:space="preserve"> promote or propagate hatred.’</w:t>
      </w:r>
      <w:r w:rsidR="00CE4903" w:rsidRPr="005825D4">
        <w:rPr>
          <w:rStyle w:val="FootnoteReference"/>
          <w:bCs/>
          <w:sz w:val="22"/>
        </w:rPr>
        <w:footnoteReference w:id="10"/>
      </w:r>
      <w:r w:rsidRPr="005825D4">
        <w:rPr>
          <w:bCs/>
          <w:sz w:val="22"/>
        </w:rPr>
        <w:t xml:space="preserve"> </w:t>
      </w:r>
    </w:p>
    <w:p w:rsidR="00001062" w:rsidRPr="005825D4" w:rsidRDefault="00504C47" w:rsidP="00A722C4">
      <w:pPr>
        <w:spacing w:line="360" w:lineRule="auto"/>
        <w:rPr>
          <w:bCs/>
        </w:rPr>
      </w:pPr>
      <w:r w:rsidRPr="005825D4">
        <w:rPr>
          <w:bCs/>
        </w:rPr>
        <w:t>Section 10(2) of PEPUDA provides as follows:</w:t>
      </w:r>
    </w:p>
    <w:p w:rsidR="00504C47" w:rsidRPr="005825D4" w:rsidRDefault="00504C47" w:rsidP="00A722C4">
      <w:pPr>
        <w:spacing w:line="360" w:lineRule="auto"/>
        <w:rPr>
          <w:bCs/>
          <w:sz w:val="22"/>
        </w:rPr>
      </w:pPr>
      <w:r w:rsidRPr="005825D4">
        <w:rPr>
          <w:bCs/>
          <w:sz w:val="22"/>
        </w:rPr>
        <w:t>‘Without prejudice to any remedies of a civil nature under this Act, the court may, in accordance with section 21(2)</w:t>
      </w:r>
      <w:r w:rsidRPr="005825D4">
        <w:rPr>
          <w:bCs/>
          <w:i/>
          <w:sz w:val="22"/>
        </w:rPr>
        <w:t>(n)</w:t>
      </w:r>
      <w:r w:rsidRPr="005825D4">
        <w:rPr>
          <w:bCs/>
          <w:sz w:val="22"/>
        </w:rPr>
        <w:t xml:space="preserve"> and where appropriate, refer any case dealing with the publication, advocacy, propagation or communication of hate speech as contemplated in subsection (1), to the Director of Public Prosecutions having jurisdiction for the institution of criminal proceedings in terms of the common law or relevant legislation.’</w:t>
      </w:r>
    </w:p>
    <w:p w:rsidR="00504C47" w:rsidRPr="005825D4" w:rsidRDefault="00504C47" w:rsidP="00A722C4">
      <w:pPr>
        <w:spacing w:line="360" w:lineRule="auto"/>
        <w:rPr>
          <w:bCs/>
        </w:rPr>
      </w:pPr>
    </w:p>
    <w:p w:rsidR="00CD7647" w:rsidRPr="005825D4" w:rsidRDefault="00902D51" w:rsidP="00A722C4">
      <w:pPr>
        <w:spacing w:line="360" w:lineRule="auto"/>
        <w:rPr>
          <w:bCs/>
        </w:rPr>
      </w:pPr>
      <w:r w:rsidRPr="005825D4">
        <w:rPr>
          <w:bCs/>
        </w:rPr>
        <w:t>[12</w:t>
      </w:r>
      <w:r w:rsidR="00B978A4" w:rsidRPr="005825D4">
        <w:rPr>
          <w:bCs/>
        </w:rPr>
        <w:t>]</w:t>
      </w:r>
      <w:r w:rsidR="00B978A4" w:rsidRPr="005825D4">
        <w:rPr>
          <w:bCs/>
        </w:rPr>
        <w:tab/>
        <w:t>The relevant part of s </w:t>
      </w:r>
      <w:r w:rsidR="00CD7647" w:rsidRPr="005825D4">
        <w:rPr>
          <w:bCs/>
        </w:rPr>
        <w:t>1</w:t>
      </w:r>
      <w:r w:rsidR="002F0595" w:rsidRPr="005825D4">
        <w:rPr>
          <w:bCs/>
        </w:rPr>
        <w:t xml:space="preserve"> of PEPUDA,</w:t>
      </w:r>
      <w:r w:rsidR="00CD7647" w:rsidRPr="005825D4">
        <w:rPr>
          <w:bCs/>
        </w:rPr>
        <w:t xml:space="preserve"> which contains a definition of ‘prohibited ground</w:t>
      </w:r>
      <w:r w:rsidR="00CB6878" w:rsidRPr="005825D4">
        <w:rPr>
          <w:bCs/>
        </w:rPr>
        <w:t>s</w:t>
      </w:r>
      <w:r w:rsidR="00CD7647" w:rsidRPr="005825D4">
        <w:rPr>
          <w:bCs/>
        </w:rPr>
        <w:t>’</w:t>
      </w:r>
      <w:r w:rsidR="0055371A" w:rsidRPr="005825D4">
        <w:rPr>
          <w:bCs/>
        </w:rPr>
        <w:t>,</w:t>
      </w:r>
      <w:r w:rsidR="00CD7647" w:rsidRPr="005825D4">
        <w:rPr>
          <w:bCs/>
        </w:rPr>
        <w:t xml:space="preserve"> </w:t>
      </w:r>
      <w:r w:rsidR="00B978A4" w:rsidRPr="005825D4">
        <w:rPr>
          <w:bCs/>
        </w:rPr>
        <w:t>and the related provisions of s </w:t>
      </w:r>
      <w:r w:rsidR="00CD7647" w:rsidRPr="005825D4">
        <w:rPr>
          <w:bCs/>
        </w:rPr>
        <w:t>12 are set out hereafter:</w:t>
      </w:r>
    </w:p>
    <w:p w:rsidR="009A11B1" w:rsidRPr="005825D4" w:rsidRDefault="00CD7647" w:rsidP="00A722C4">
      <w:pPr>
        <w:spacing w:line="360" w:lineRule="auto"/>
        <w:rPr>
          <w:bCs/>
          <w:sz w:val="22"/>
        </w:rPr>
      </w:pPr>
      <w:r w:rsidRPr="005825D4">
        <w:rPr>
          <w:bCs/>
          <w:sz w:val="22"/>
        </w:rPr>
        <w:t>‘</w:t>
      </w:r>
      <w:r w:rsidR="009A11B1" w:rsidRPr="005825D4">
        <w:rPr>
          <w:bCs/>
          <w:sz w:val="22"/>
        </w:rPr>
        <w:t>1(1) In this Act, unless the context provides otherwise</w:t>
      </w:r>
      <w:r w:rsidR="00FA7C02" w:rsidRPr="005825D4">
        <w:rPr>
          <w:bCs/>
          <w:sz w:val="22"/>
        </w:rPr>
        <w:t>—</w:t>
      </w:r>
      <w:r w:rsidR="009A11B1" w:rsidRPr="005825D4">
        <w:rPr>
          <w:bCs/>
          <w:sz w:val="22"/>
        </w:rPr>
        <w:t xml:space="preserve">  </w:t>
      </w:r>
    </w:p>
    <w:p w:rsidR="009A11B1" w:rsidRPr="005825D4" w:rsidRDefault="009A11B1" w:rsidP="00A722C4">
      <w:pPr>
        <w:spacing w:line="360" w:lineRule="auto"/>
        <w:rPr>
          <w:bCs/>
          <w:sz w:val="22"/>
        </w:rPr>
      </w:pPr>
      <w:r w:rsidRPr="005825D4">
        <w:rPr>
          <w:bCs/>
          <w:sz w:val="22"/>
        </w:rPr>
        <w:t>. . . .</w:t>
      </w:r>
    </w:p>
    <w:p w:rsidR="00CD7647" w:rsidRPr="005825D4" w:rsidRDefault="009A11B1" w:rsidP="00A722C4">
      <w:pPr>
        <w:spacing w:line="360" w:lineRule="auto"/>
        <w:rPr>
          <w:bCs/>
          <w:sz w:val="22"/>
        </w:rPr>
      </w:pPr>
      <w:r w:rsidRPr="005825D4">
        <w:rPr>
          <w:bCs/>
          <w:sz w:val="22"/>
        </w:rPr>
        <w:t>“p</w:t>
      </w:r>
      <w:r w:rsidR="00CD7647" w:rsidRPr="005825D4">
        <w:rPr>
          <w:bCs/>
          <w:sz w:val="22"/>
        </w:rPr>
        <w:t>rohibited grounds”</w:t>
      </w:r>
      <w:r w:rsidRPr="005825D4">
        <w:rPr>
          <w:bCs/>
          <w:sz w:val="22"/>
        </w:rPr>
        <w:t xml:space="preserve"> are</w:t>
      </w:r>
      <w:r w:rsidR="00FA7C02" w:rsidRPr="005825D4">
        <w:rPr>
          <w:bCs/>
          <w:sz w:val="22"/>
        </w:rPr>
        <w:t>—</w:t>
      </w:r>
      <w:r w:rsidRPr="005825D4">
        <w:rPr>
          <w:bCs/>
          <w:sz w:val="22"/>
        </w:rPr>
        <w:t xml:space="preserve"> </w:t>
      </w:r>
    </w:p>
    <w:p w:rsidR="00CD7647" w:rsidRPr="005825D4" w:rsidRDefault="00CD7647" w:rsidP="00A722C4">
      <w:pPr>
        <w:spacing w:line="360" w:lineRule="auto"/>
        <w:rPr>
          <w:bCs/>
          <w:sz w:val="22"/>
        </w:rPr>
      </w:pPr>
      <w:r w:rsidRPr="005825D4">
        <w:rPr>
          <w:bCs/>
          <w:i/>
          <w:sz w:val="22"/>
        </w:rPr>
        <w:t xml:space="preserve">(a) </w:t>
      </w:r>
      <w:r w:rsidRPr="005825D4">
        <w:rPr>
          <w:bCs/>
          <w:sz w:val="22"/>
        </w:rPr>
        <w:t>race, gender, sex, pregnancy, marital status, ethnic or social origin, colour, sexual orientation, age, disability, religion, conscience, belief, culture, language, birth and HIV/AIDS status; or</w:t>
      </w:r>
    </w:p>
    <w:p w:rsidR="00CD7647" w:rsidRPr="005825D4" w:rsidRDefault="00CD7647" w:rsidP="00A722C4">
      <w:pPr>
        <w:spacing w:line="360" w:lineRule="auto"/>
        <w:rPr>
          <w:bCs/>
          <w:sz w:val="22"/>
        </w:rPr>
      </w:pPr>
      <w:r w:rsidRPr="005825D4">
        <w:rPr>
          <w:bCs/>
          <w:i/>
          <w:sz w:val="22"/>
        </w:rPr>
        <w:t>(b)</w:t>
      </w:r>
      <w:r w:rsidRPr="005825D4">
        <w:rPr>
          <w:bCs/>
          <w:sz w:val="22"/>
        </w:rPr>
        <w:t xml:space="preserve"> any other ground where discrimination ba</w:t>
      </w:r>
      <w:r w:rsidR="009A11B1" w:rsidRPr="005825D4">
        <w:rPr>
          <w:bCs/>
          <w:sz w:val="22"/>
        </w:rPr>
        <w:t>sed on that other ground</w:t>
      </w:r>
      <w:r w:rsidR="00FA7C02" w:rsidRPr="005825D4">
        <w:rPr>
          <w:bCs/>
          <w:sz w:val="22"/>
        </w:rPr>
        <w:t>—</w:t>
      </w:r>
      <w:r w:rsidR="009A11B1" w:rsidRPr="005825D4">
        <w:rPr>
          <w:bCs/>
          <w:sz w:val="22"/>
        </w:rPr>
        <w:t xml:space="preserve"> </w:t>
      </w:r>
    </w:p>
    <w:p w:rsidR="00CD7647" w:rsidRPr="005825D4" w:rsidRDefault="00CD7647" w:rsidP="00A722C4">
      <w:pPr>
        <w:spacing w:line="360" w:lineRule="auto"/>
        <w:rPr>
          <w:bCs/>
          <w:sz w:val="22"/>
        </w:rPr>
      </w:pPr>
      <w:r w:rsidRPr="005825D4">
        <w:rPr>
          <w:bCs/>
          <w:sz w:val="22"/>
        </w:rPr>
        <w:t xml:space="preserve">(i) causes or perpetuates systemic disadvantage; </w:t>
      </w:r>
    </w:p>
    <w:p w:rsidR="00CD7647" w:rsidRPr="005825D4" w:rsidRDefault="00CD7647" w:rsidP="00A722C4">
      <w:pPr>
        <w:spacing w:line="360" w:lineRule="auto"/>
        <w:rPr>
          <w:bCs/>
          <w:sz w:val="22"/>
        </w:rPr>
      </w:pPr>
      <w:r w:rsidRPr="005825D4">
        <w:rPr>
          <w:bCs/>
          <w:sz w:val="22"/>
        </w:rPr>
        <w:t>(ii) undermines human dignity; or</w:t>
      </w:r>
    </w:p>
    <w:p w:rsidR="00CD7647" w:rsidRPr="005825D4" w:rsidRDefault="00CD7647" w:rsidP="00A722C4">
      <w:pPr>
        <w:spacing w:line="360" w:lineRule="auto"/>
        <w:rPr>
          <w:bCs/>
          <w:sz w:val="22"/>
        </w:rPr>
      </w:pPr>
      <w:r w:rsidRPr="005825D4">
        <w:rPr>
          <w:bCs/>
          <w:sz w:val="22"/>
        </w:rPr>
        <w:t xml:space="preserve">(iii) adversely affects the equal enjoyment of a person’s rights and freedoms in a serious manner that is comparable to discrimination on a ground in paragraph </w:t>
      </w:r>
      <w:r w:rsidRPr="005825D4">
        <w:rPr>
          <w:bCs/>
          <w:i/>
          <w:sz w:val="22"/>
        </w:rPr>
        <w:t>(a)</w:t>
      </w:r>
      <w:r w:rsidRPr="005825D4">
        <w:rPr>
          <w:bCs/>
          <w:sz w:val="22"/>
        </w:rPr>
        <w:t>.</w:t>
      </w:r>
    </w:p>
    <w:p w:rsidR="00CD7647" w:rsidRPr="005825D4" w:rsidRDefault="009A11B1" w:rsidP="00A722C4">
      <w:pPr>
        <w:spacing w:line="360" w:lineRule="auto"/>
        <w:rPr>
          <w:bCs/>
          <w:sz w:val="22"/>
        </w:rPr>
      </w:pPr>
      <w:r w:rsidRPr="005825D4">
        <w:rPr>
          <w:bCs/>
          <w:sz w:val="22"/>
        </w:rPr>
        <w:t>12. No person may</w:t>
      </w:r>
      <w:r w:rsidR="00FA7C02" w:rsidRPr="005825D4">
        <w:rPr>
          <w:bCs/>
          <w:sz w:val="22"/>
        </w:rPr>
        <w:t>—</w:t>
      </w:r>
      <w:r w:rsidRPr="005825D4">
        <w:rPr>
          <w:bCs/>
          <w:sz w:val="22"/>
        </w:rPr>
        <w:t xml:space="preserve"> </w:t>
      </w:r>
    </w:p>
    <w:p w:rsidR="00CD7647" w:rsidRPr="005825D4" w:rsidRDefault="00CD7647" w:rsidP="00A722C4">
      <w:pPr>
        <w:spacing w:line="360" w:lineRule="auto"/>
        <w:rPr>
          <w:bCs/>
          <w:sz w:val="22"/>
        </w:rPr>
      </w:pPr>
      <w:r w:rsidRPr="005825D4">
        <w:rPr>
          <w:bCs/>
          <w:i/>
          <w:sz w:val="22"/>
        </w:rPr>
        <w:t>(a)</w:t>
      </w:r>
      <w:r w:rsidRPr="005825D4">
        <w:rPr>
          <w:bCs/>
          <w:sz w:val="22"/>
        </w:rPr>
        <w:t xml:space="preserve"> disseminate or broadcast any information;</w:t>
      </w:r>
    </w:p>
    <w:p w:rsidR="00CD7647" w:rsidRPr="005825D4" w:rsidRDefault="00CD7647" w:rsidP="00A722C4">
      <w:pPr>
        <w:spacing w:line="360" w:lineRule="auto"/>
        <w:rPr>
          <w:bCs/>
          <w:sz w:val="22"/>
        </w:rPr>
      </w:pPr>
      <w:r w:rsidRPr="005825D4">
        <w:rPr>
          <w:bCs/>
          <w:i/>
          <w:sz w:val="22"/>
        </w:rPr>
        <w:t>(b)</w:t>
      </w:r>
      <w:r w:rsidRPr="005825D4">
        <w:rPr>
          <w:bCs/>
          <w:sz w:val="22"/>
        </w:rPr>
        <w:t xml:space="preserve"> publish or display any advertisement or notice,</w:t>
      </w:r>
    </w:p>
    <w:p w:rsidR="00CD7647" w:rsidRPr="005825D4" w:rsidRDefault="00CD7647" w:rsidP="00A722C4">
      <w:pPr>
        <w:spacing w:line="360" w:lineRule="auto"/>
        <w:rPr>
          <w:bCs/>
          <w:sz w:val="22"/>
        </w:rPr>
      </w:pPr>
      <w:r w:rsidRPr="005825D4">
        <w:rPr>
          <w:bCs/>
          <w:i/>
          <w:sz w:val="22"/>
        </w:rPr>
        <w:t>that could reasonably be construed or reasonably be understood</w:t>
      </w:r>
      <w:r w:rsidRPr="005825D4">
        <w:rPr>
          <w:bCs/>
          <w:sz w:val="22"/>
        </w:rPr>
        <w:t xml:space="preserve"> to demonstrate a clear intention to unfairly discriminate against any person: Provided that </w:t>
      </w:r>
      <w:r w:rsidRPr="005825D4">
        <w:rPr>
          <w:bCs/>
          <w:i/>
          <w:sz w:val="22"/>
        </w:rPr>
        <w:t xml:space="preserve">bona fide </w:t>
      </w:r>
      <w:r w:rsidRPr="005825D4">
        <w:rPr>
          <w:bCs/>
          <w:sz w:val="22"/>
        </w:rPr>
        <w:t>engagement in artistic creativity, academic and scientific inquiry, fair and accurate reporting in the public interest or publication of any information, advertisement or notice in accordance with section 16 of the Constitution, is not precluded by this section.’</w:t>
      </w:r>
      <w:r w:rsidR="00CE4903" w:rsidRPr="005825D4">
        <w:rPr>
          <w:rStyle w:val="FootnoteReference"/>
          <w:bCs/>
          <w:sz w:val="22"/>
        </w:rPr>
        <w:footnoteReference w:id="11"/>
      </w:r>
      <w:r w:rsidRPr="005825D4">
        <w:rPr>
          <w:bCs/>
          <w:sz w:val="22"/>
        </w:rPr>
        <w:t xml:space="preserve"> </w:t>
      </w:r>
    </w:p>
    <w:p w:rsidR="00872A6D" w:rsidRPr="005825D4" w:rsidRDefault="00872A6D" w:rsidP="00A722C4">
      <w:pPr>
        <w:spacing w:line="360" w:lineRule="auto"/>
        <w:rPr>
          <w:bCs/>
        </w:rPr>
      </w:pPr>
    </w:p>
    <w:p w:rsidR="005D57F4" w:rsidRPr="005825D4" w:rsidRDefault="00902D51" w:rsidP="00A722C4">
      <w:pPr>
        <w:spacing w:line="360" w:lineRule="auto"/>
        <w:rPr>
          <w:bCs/>
        </w:rPr>
      </w:pPr>
      <w:r w:rsidRPr="005825D4">
        <w:rPr>
          <w:bCs/>
        </w:rPr>
        <w:t>[13</w:t>
      </w:r>
      <w:r w:rsidR="00B955E7" w:rsidRPr="005825D4">
        <w:rPr>
          <w:bCs/>
        </w:rPr>
        <w:t>]</w:t>
      </w:r>
      <w:r w:rsidR="00B955E7" w:rsidRPr="005825D4">
        <w:rPr>
          <w:bCs/>
        </w:rPr>
        <w:tab/>
        <w:t>Both Mr Qwelane and Media</w:t>
      </w:r>
      <w:r w:rsidR="00001062" w:rsidRPr="005825D4">
        <w:rPr>
          <w:bCs/>
        </w:rPr>
        <w:t>24</w:t>
      </w:r>
      <w:r w:rsidR="00AC0091" w:rsidRPr="005825D4">
        <w:rPr>
          <w:bCs/>
        </w:rPr>
        <w:t xml:space="preserve"> </w:t>
      </w:r>
      <w:r w:rsidR="004C3409" w:rsidRPr="005825D4">
        <w:rPr>
          <w:bCs/>
        </w:rPr>
        <w:t>subsequently</w:t>
      </w:r>
      <w:r w:rsidR="00001062" w:rsidRPr="005825D4">
        <w:rPr>
          <w:bCs/>
        </w:rPr>
        <w:t xml:space="preserve"> launched an application in the high court seeking to have </w:t>
      </w:r>
      <w:r w:rsidR="00B978A4" w:rsidRPr="005825D4">
        <w:rPr>
          <w:bCs/>
        </w:rPr>
        <w:t>s </w:t>
      </w:r>
      <w:r w:rsidR="006E34FE" w:rsidRPr="005825D4">
        <w:rPr>
          <w:bCs/>
        </w:rPr>
        <w:t xml:space="preserve">10(1), read with </w:t>
      </w:r>
      <w:r w:rsidR="00B978A4" w:rsidRPr="005825D4">
        <w:rPr>
          <w:bCs/>
        </w:rPr>
        <w:t>ss </w:t>
      </w:r>
      <w:r w:rsidR="009E47C6" w:rsidRPr="005825D4">
        <w:rPr>
          <w:bCs/>
        </w:rPr>
        <w:t>12 and 1</w:t>
      </w:r>
      <w:r w:rsidR="008C34C8" w:rsidRPr="005825D4">
        <w:rPr>
          <w:bCs/>
        </w:rPr>
        <w:t>,</w:t>
      </w:r>
      <w:r w:rsidR="00B978A4" w:rsidRPr="005825D4">
        <w:rPr>
          <w:bCs/>
        </w:rPr>
        <w:t xml:space="preserve"> and s </w:t>
      </w:r>
      <w:r w:rsidR="009E47C6" w:rsidRPr="005825D4">
        <w:rPr>
          <w:bCs/>
        </w:rPr>
        <w:t>11</w:t>
      </w:r>
      <w:r w:rsidR="00001062" w:rsidRPr="005825D4">
        <w:rPr>
          <w:bCs/>
        </w:rPr>
        <w:t xml:space="preserve"> of PEPUDA</w:t>
      </w:r>
      <w:r w:rsidR="009C0D77" w:rsidRPr="005825D4">
        <w:rPr>
          <w:bCs/>
        </w:rPr>
        <w:t xml:space="preserve"> declared unconstitutional</w:t>
      </w:r>
      <w:r w:rsidR="008C34C8" w:rsidRPr="005825D4">
        <w:rPr>
          <w:bCs/>
        </w:rPr>
        <w:t>,</w:t>
      </w:r>
      <w:r w:rsidR="009E47C6" w:rsidRPr="005825D4">
        <w:rPr>
          <w:bCs/>
        </w:rPr>
        <w:t xml:space="preserve"> on the basis that it was incons</w:t>
      </w:r>
      <w:r w:rsidR="00B978A4" w:rsidRPr="005825D4">
        <w:rPr>
          <w:bCs/>
        </w:rPr>
        <w:t>istent with the provisions of s </w:t>
      </w:r>
      <w:r w:rsidR="009E47C6" w:rsidRPr="005825D4">
        <w:rPr>
          <w:bCs/>
        </w:rPr>
        <w:t xml:space="preserve">16 of the </w:t>
      </w:r>
      <w:r w:rsidR="009E47C6" w:rsidRPr="005825D4">
        <w:rPr>
          <w:bCs/>
        </w:rPr>
        <w:lastRenderedPageBreak/>
        <w:t>Constitution</w:t>
      </w:r>
      <w:r w:rsidR="009C0D77" w:rsidRPr="005825D4">
        <w:rPr>
          <w:bCs/>
        </w:rPr>
        <w:t>.</w:t>
      </w:r>
      <w:r w:rsidR="004A25B0" w:rsidRPr="005825D4">
        <w:rPr>
          <w:bCs/>
        </w:rPr>
        <w:t xml:space="preserve"> Section 11 of PEPUDA states that ‘no person may subject any person to harassment’.</w:t>
      </w:r>
      <w:r w:rsidR="009C0D77" w:rsidRPr="005825D4">
        <w:rPr>
          <w:bCs/>
        </w:rPr>
        <w:t xml:space="preserve"> </w:t>
      </w:r>
      <w:r w:rsidR="009A11B1" w:rsidRPr="005825D4">
        <w:rPr>
          <w:bCs/>
        </w:rPr>
        <w:t>T</w:t>
      </w:r>
      <w:r w:rsidR="00001062" w:rsidRPr="005825D4">
        <w:rPr>
          <w:bCs/>
        </w:rPr>
        <w:t xml:space="preserve">he HRC </w:t>
      </w:r>
      <w:r w:rsidR="009A11B1" w:rsidRPr="005825D4">
        <w:rPr>
          <w:bCs/>
        </w:rPr>
        <w:t xml:space="preserve">thereafter </w:t>
      </w:r>
      <w:r w:rsidR="00001062" w:rsidRPr="005825D4">
        <w:rPr>
          <w:bCs/>
        </w:rPr>
        <w:t xml:space="preserve">withdrew </w:t>
      </w:r>
      <w:r w:rsidR="006C2050" w:rsidRPr="005825D4">
        <w:rPr>
          <w:bCs/>
        </w:rPr>
        <w:t xml:space="preserve">the </w:t>
      </w:r>
      <w:r w:rsidR="00001062" w:rsidRPr="005825D4">
        <w:rPr>
          <w:bCs/>
        </w:rPr>
        <w:t>proceeding</w:t>
      </w:r>
      <w:r w:rsidR="009C0D77" w:rsidRPr="005825D4">
        <w:rPr>
          <w:bCs/>
        </w:rPr>
        <w:t>s</w:t>
      </w:r>
      <w:r w:rsidR="0004244F" w:rsidRPr="005825D4">
        <w:rPr>
          <w:bCs/>
        </w:rPr>
        <w:t xml:space="preserve"> in the </w:t>
      </w:r>
      <w:r w:rsidR="00AC4095" w:rsidRPr="005825D4">
        <w:rPr>
          <w:bCs/>
        </w:rPr>
        <w:t>equality c</w:t>
      </w:r>
      <w:r w:rsidR="00001062" w:rsidRPr="005825D4">
        <w:rPr>
          <w:bCs/>
        </w:rPr>
        <w:t xml:space="preserve">ourt against </w:t>
      </w:r>
      <w:r w:rsidR="00B955E7" w:rsidRPr="005825D4">
        <w:rPr>
          <w:bCs/>
        </w:rPr>
        <w:t>Media</w:t>
      </w:r>
      <w:r w:rsidR="009C0D77" w:rsidRPr="005825D4">
        <w:rPr>
          <w:bCs/>
        </w:rPr>
        <w:t>24</w:t>
      </w:r>
      <w:r w:rsidR="00872A6D" w:rsidRPr="005825D4">
        <w:rPr>
          <w:bCs/>
        </w:rPr>
        <w:t>,</w:t>
      </w:r>
      <w:r w:rsidR="002F0595" w:rsidRPr="005825D4">
        <w:rPr>
          <w:bCs/>
        </w:rPr>
        <w:t xml:space="preserve"> after a </w:t>
      </w:r>
      <w:r w:rsidR="00001062" w:rsidRPr="005825D4">
        <w:rPr>
          <w:bCs/>
        </w:rPr>
        <w:t>settlement</w:t>
      </w:r>
      <w:r w:rsidR="006C2683" w:rsidRPr="005825D4">
        <w:rPr>
          <w:bCs/>
        </w:rPr>
        <w:t xml:space="preserve"> was reached</w:t>
      </w:r>
      <w:r w:rsidR="00224C11" w:rsidRPr="005825D4">
        <w:rPr>
          <w:bCs/>
        </w:rPr>
        <w:t>,</w:t>
      </w:r>
      <w:r w:rsidR="00B955E7" w:rsidRPr="005825D4">
        <w:rPr>
          <w:bCs/>
        </w:rPr>
        <w:t xml:space="preserve"> in terms of which Media</w:t>
      </w:r>
      <w:r w:rsidR="00001062" w:rsidRPr="005825D4">
        <w:rPr>
          <w:bCs/>
        </w:rPr>
        <w:t xml:space="preserve">24 withdrew </w:t>
      </w:r>
      <w:r w:rsidR="00001062" w:rsidRPr="005825D4">
        <w:rPr>
          <w:bCs/>
          <w:i/>
        </w:rPr>
        <w:t>its</w:t>
      </w:r>
      <w:r w:rsidR="00001062" w:rsidRPr="005825D4">
        <w:rPr>
          <w:bCs/>
        </w:rPr>
        <w:t xml:space="preserve"> application and </w:t>
      </w:r>
      <w:r w:rsidR="009C0D77" w:rsidRPr="005825D4">
        <w:rPr>
          <w:bCs/>
        </w:rPr>
        <w:t xml:space="preserve">an </w:t>
      </w:r>
      <w:r w:rsidR="004C3409" w:rsidRPr="005825D4">
        <w:rPr>
          <w:bCs/>
        </w:rPr>
        <w:t>arrangement</w:t>
      </w:r>
      <w:r w:rsidR="009C0D77" w:rsidRPr="005825D4">
        <w:rPr>
          <w:bCs/>
        </w:rPr>
        <w:t xml:space="preserve"> was </w:t>
      </w:r>
      <w:r w:rsidR="006C2683" w:rsidRPr="005825D4">
        <w:rPr>
          <w:bCs/>
        </w:rPr>
        <w:t>arrived at</w:t>
      </w:r>
      <w:r w:rsidR="009C0D77" w:rsidRPr="005825D4">
        <w:rPr>
          <w:bCs/>
        </w:rPr>
        <w:t xml:space="preserve"> in respect of costs.</w:t>
      </w:r>
      <w:r w:rsidR="00001062" w:rsidRPr="005825D4">
        <w:rPr>
          <w:bCs/>
        </w:rPr>
        <w:t xml:space="preserve"> </w:t>
      </w:r>
      <w:r w:rsidR="00AC4095" w:rsidRPr="005825D4">
        <w:rPr>
          <w:bCs/>
        </w:rPr>
        <w:t xml:space="preserve">The </w:t>
      </w:r>
      <w:r w:rsidR="009A11B1" w:rsidRPr="005825D4">
        <w:rPr>
          <w:bCs/>
        </w:rPr>
        <w:t xml:space="preserve">equality court </w:t>
      </w:r>
      <w:r w:rsidR="00AC4095" w:rsidRPr="005825D4">
        <w:rPr>
          <w:bCs/>
        </w:rPr>
        <w:t xml:space="preserve">proceedings </w:t>
      </w:r>
      <w:r w:rsidR="00001062" w:rsidRPr="005825D4">
        <w:rPr>
          <w:bCs/>
        </w:rPr>
        <w:t>agai</w:t>
      </w:r>
      <w:r w:rsidR="00812E29" w:rsidRPr="005825D4">
        <w:rPr>
          <w:bCs/>
        </w:rPr>
        <w:t>n</w:t>
      </w:r>
      <w:r w:rsidR="00001062" w:rsidRPr="005825D4">
        <w:rPr>
          <w:bCs/>
        </w:rPr>
        <w:t>s</w:t>
      </w:r>
      <w:r w:rsidR="00812E29" w:rsidRPr="005825D4">
        <w:rPr>
          <w:bCs/>
        </w:rPr>
        <w:t>t</w:t>
      </w:r>
      <w:r w:rsidR="005D57F4" w:rsidRPr="005825D4">
        <w:rPr>
          <w:bCs/>
        </w:rPr>
        <w:t xml:space="preserve"> Mr Qwelane</w:t>
      </w:r>
      <w:r w:rsidR="009A11B1" w:rsidRPr="005825D4">
        <w:rPr>
          <w:bCs/>
        </w:rPr>
        <w:t xml:space="preserve"> continued</w:t>
      </w:r>
      <w:r w:rsidR="00812E29" w:rsidRPr="005825D4">
        <w:rPr>
          <w:bCs/>
        </w:rPr>
        <w:t>.</w:t>
      </w:r>
      <w:r w:rsidR="005D57F4" w:rsidRPr="005825D4">
        <w:rPr>
          <w:bCs/>
        </w:rPr>
        <w:t xml:space="preserve"> </w:t>
      </w:r>
    </w:p>
    <w:p w:rsidR="005D57F4" w:rsidRPr="005825D4" w:rsidRDefault="005D57F4" w:rsidP="00A722C4">
      <w:pPr>
        <w:spacing w:line="360" w:lineRule="auto"/>
        <w:rPr>
          <w:bCs/>
        </w:rPr>
      </w:pPr>
    </w:p>
    <w:p w:rsidR="005D57F4" w:rsidRPr="005825D4" w:rsidRDefault="00902D51" w:rsidP="00A722C4">
      <w:pPr>
        <w:spacing w:line="360" w:lineRule="auto"/>
        <w:rPr>
          <w:bCs/>
        </w:rPr>
      </w:pPr>
      <w:r w:rsidRPr="005825D4">
        <w:rPr>
          <w:bCs/>
        </w:rPr>
        <w:t>[14</w:t>
      </w:r>
      <w:r w:rsidR="005D57F4" w:rsidRPr="005825D4">
        <w:rPr>
          <w:bCs/>
        </w:rPr>
        <w:t>]</w:t>
      </w:r>
      <w:r w:rsidR="005D57F4" w:rsidRPr="005825D4">
        <w:rPr>
          <w:bCs/>
        </w:rPr>
        <w:tab/>
        <w:t xml:space="preserve">The proceedings in the high court and </w:t>
      </w:r>
      <w:r w:rsidR="00CD7647" w:rsidRPr="005825D4">
        <w:rPr>
          <w:bCs/>
        </w:rPr>
        <w:t xml:space="preserve">in </w:t>
      </w:r>
      <w:r w:rsidR="005D57F4" w:rsidRPr="005825D4">
        <w:rPr>
          <w:bCs/>
        </w:rPr>
        <w:t>the equality court were consolidated.</w:t>
      </w:r>
      <w:r w:rsidR="0055371A" w:rsidRPr="005825D4">
        <w:rPr>
          <w:rStyle w:val="FootnoteReference"/>
          <w:bCs/>
        </w:rPr>
        <w:footnoteReference w:id="12"/>
      </w:r>
      <w:r w:rsidR="005D57F4" w:rsidRPr="005825D4">
        <w:rPr>
          <w:bCs/>
        </w:rPr>
        <w:t xml:space="preserve"> Moshidi J, sitting both as the equality court and the high court, adjudicated the complaint </w:t>
      </w:r>
      <w:r w:rsidR="004C3409" w:rsidRPr="005825D4">
        <w:rPr>
          <w:bCs/>
        </w:rPr>
        <w:t xml:space="preserve">by the HRC </w:t>
      </w:r>
      <w:r w:rsidR="005D57F4" w:rsidRPr="005825D4">
        <w:rPr>
          <w:bCs/>
        </w:rPr>
        <w:t xml:space="preserve">and the application by Mr Qwelane </w:t>
      </w:r>
      <w:r w:rsidR="006C2683" w:rsidRPr="005825D4">
        <w:rPr>
          <w:bCs/>
        </w:rPr>
        <w:t>to have the provisions</w:t>
      </w:r>
      <w:r w:rsidR="005D57F4" w:rsidRPr="005825D4">
        <w:rPr>
          <w:bCs/>
        </w:rPr>
        <w:t xml:space="preserve"> of PEPUDA referred to above declared unconstitutional. </w:t>
      </w:r>
      <w:r w:rsidR="00143A19" w:rsidRPr="005825D4">
        <w:rPr>
          <w:bCs/>
        </w:rPr>
        <w:t xml:space="preserve">Because of the </w:t>
      </w:r>
      <w:r w:rsidR="0055371A" w:rsidRPr="005825D4">
        <w:rPr>
          <w:bCs/>
        </w:rPr>
        <w:t>constitutional</w:t>
      </w:r>
      <w:r w:rsidR="00143A19" w:rsidRPr="005825D4">
        <w:rPr>
          <w:bCs/>
        </w:rPr>
        <w:t xml:space="preserve"> challenge, the second respondent, the Minist</w:t>
      </w:r>
      <w:r w:rsidR="00A1044D" w:rsidRPr="005825D4">
        <w:rPr>
          <w:bCs/>
        </w:rPr>
        <w:t>er of Justice and Correctional S</w:t>
      </w:r>
      <w:r w:rsidR="00143A19" w:rsidRPr="005825D4">
        <w:rPr>
          <w:bCs/>
        </w:rPr>
        <w:t>ervices, was cited and participated in the proceedings. The Freedom of Expression Institute, which has as its object the promotion of efforts to protect the public’s right to</w:t>
      </w:r>
      <w:r w:rsidR="009A11B1" w:rsidRPr="005825D4">
        <w:rPr>
          <w:bCs/>
        </w:rPr>
        <w:t xml:space="preserve"> receive and impart information ideas and opinions;</w:t>
      </w:r>
      <w:r w:rsidR="00143A19" w:rsidRPr="005825D4">
        <w:rPr>
          <w:bCs/>
        </w:rPr>
        <w:t xml:space="preserve"> to defend freedom of expression</w:t>
      </w:r>
      <w:r w:rsidR="009A11B1" w:rsidRPr="005825D4">
        <w:rPr>
          <w:bCs/>
        </w:rPr>
        <w:t>;</w:t>
      </w:r>
      <w:r w:rsidR="00143A19" w:rsidRPr="005825D4">
        <w:rPr>
          <w:bCs/>
        </w:rPr>
        <w:t xml:space="preserve"> to oppose censorship</w:t>
      </w:r>
      <w:r w:rsidR="009A11B1" w:rsidRPr="005825D4">
        <w:rPr>
          <w:bCs/>
        </w:rPr>
        <w:t>;</w:t>
      </w:r>
      <w:r w:rsidR="00143A19" w:rsidRPr="005825D4">
        <w:rPr>
          <w:bCs/>
        </w:rPr>
        <w:t xml:space="preserve"> and to fight for the </w:t>
      </w:r>
      <w:r w:rsidR="00DB2EA8" w:rsidRPr="005825D4">
        <w:rPr>
          <w:bCs/>
        </w:rPr>
        <w:t xml:space="preserve">right of access to information, participated as an </w:t>
      </w:r>
      <w:r w:rsidR="00DB2EA8" w:rsidRPr="005825D4">
        <w:rPr>
          <w:bCs/>
          <w:i/>
        </w:rPr>
        <w:t>amicus</w:t>
      </w:r>
      <w:r w:rsidR="00DB2EA8" w:rsidRPr="005825D4">
        <w:rPr>
          <w:bCs/>
        </w:rPr>
        <w:t>, as did the Psychological Society of South Africa</w:t>
      </w:r>
      <w:r w:rsidR="004C1385" w:rsidRPr="005825D4">
        <w:rPr>
          <w:bCs/>
        </w:rPr>
        <w:t xml:space="preserve"> (the Society)</w:t>
      </w:r>
      <w:r w:rsidR="00DB2EA8" w:rsidRPr="005825D4">
        <w:rPr>
          <w:bCs/>
        </w:rPr>
        <w:t xml:space="preserve">. More about </w:t>
      </w:r>
      <w:r w:rsidR="004C1385" w:rsidRPr="005825D4">
        <w:rPr>
          <w:bCs/>
        </w:rPr>
        <w:t>the S</w:t>
      </w:r>
      <w:r w:rsidR="00DB2EA8" w:rsidRPr="005825D4">
        <w:rPr>
          <w:bCs/>
        </w:rPr>
        <w:t>ociety later.</w:t>
      </w:r>
    </w:p>
    <w:p w:rsidR="005D57F4" w:rsidRPr="005825D4" w:rsidRDefault="005D57F4" w:rsidP="00A722C4">
      <w:pPr>
        <w:spacing w:line="360" w:lineRule="auto"/>
        <w:rPr>
          <w:bCs/>
        </w:rPr>
      </w:pPr>
    </w:p>
    <w:p w:rsidR="00791B76" w:rsidRPr="005825D4" w:rsidRDefault="00902D51" w:rsidP="00A722C4">
      <w:pPr>
        <w:spacing w:line="360" w:lineRule="auto"/>
        <w:rPr>
          <w:bCs/>
        </w:rPr>
      </w:pPr>
      <w:r w:rsidRPr="005825D4">
        <w:rPr>
          <w:bCs/>
        </w:rPr>
        <w:t>[15</w:t>
      </w:r>
      <w:r w:rsidR="00FB293F" w:rsidRPr="005825D4">
        <w:rPr>
          <w:bCs/>
        </w:rPr>
        <w:t>]</w:t>
      </w:r>
      <w:r w:rsidR="00FB293F" w:rsidRPr="005825D4">
        <w:rPr>
          <w:bCs/>
        </w:rPr>
        <w:tab/>
      </w:r>
      <w:r w:rsidR="00E9638A" w:rsidRPr="005825D4">
        <w:rPr>
          <w:bCs/>
        </w:rPr>
        <w:t xml:space="preserve">In relation to the complaint by the HRC, extensive evidence was led before </w:t>
      </w:r>
      <w:r w:rsidR="0031205C" w:rsidRPr="005825D4">
        <w:rPr>
          <w:bCs/>
        </w:rPr>
        <w:t>Moshidi </w:t>
      </w:r>
      <w:r w:rsidR="00FB293F" w:rsidRPr="005825D4">
        <w:rPr>
          <w:bCs/>
        </w:rPr>
        <w:t>J</w:t>
      </w:r>
      <w:r w:rsidR="00E9638A" w:rsidRPr="005825D4">
        <w:rPr>
          <w:bCs/>
        </w:rPr>
        <w:t>. The</w:t>
      </w:r>
      <w:r w:rsidR="00791B76" w:rsidRPr="005825D4">
        <w:rPr>
          <w:bCs/>
        </w:rPr>
        <w:t xml:space="preserve"> head of legal services of the HRC, Mr Pandelis Gregoriou,</w:t>
      </w:r>
      <w:r w:rsidR="00E9638A" w:rsidRPr="005825D4">
        <w:rPr>
          <w:bCs/>
        </w:rPr>
        <w:t xml:space="preserve"> testified</w:t>
      </w:r>
      <w:r w:rsidR="00FB7FDF" w:rsidRPr="005825D4">
        <w:rPr>
          <w:bCs/>
        </w:rPr>
        <w:t xml:space="preserve"> and</w:t>
      </w:r>
      <w:r w:rsidR="00E9638A" w:rsidRPr="005825D4">
        <w:rPr>
          <w:bCs/>
        </w:rPr>
        <w:t xml:space="preserve"> explained that</w:t>
      </w:r>
      <w:r w:rsidR="00FB7FDF" w:rsidRPr="005825D4">
        <w:rPr>
          <w:bCs/>
        </w:rPr>
        <w:t>,</w:t>
      </w:r>
      <w:r w:rsidR="00E9638A" w:rsidRPr="005825D4">
        <w:rPr>
          <w:bCs/>
        </w:rPr>
        <w:t xml:space="preserve"> even before the offensive publication appeared, the HRC had received numerous complaints by members of the LGBTI community in relation to how they were treated by persons who discriminated against them based on their sexual orientation. There had been many complaints by an organisati</w:t>
      </w:r>
      <w:r w:rsidR="000775A0">
        <w:rPr>
          <w:bCs/>
        </w:rPr>
        <w:t>on called People Opposing Wome</w:t>
      </w:r>
      <w:r w:rsidR="00E9638A" w:rsidRPr="005825D4">
        <w:rPr>
          <w:bCs/>
        </w:rPr>
        <w:t>n Abuse (POWA)</w:t>
      </w:r>
      <w:r w:rsidR="006C2683" w:rsidRPr="005825D4">
        <w:rPr>
          <w:bCs/>
        </w:rPr>
        <w:t>.</w:t>
      </w:r>
      <w:r w:rsidR="00E9638A" w:rsidRPr="005825D4">
        <w:rPr>
          <w:bCs/>
        </w:rPr>
        <w:t xml:space="preserve"> </w:t>
      </w:r>
      <w:r w:rsidR="00FB7FDF" w:rsidRPr="005825D4">
        <w:rPr>
          <w:bCs/>
        </w:rPr>
        <w:t xml:space="preserve">POWA tended to victims from previously disadvantaged communities. </w:t>
      </w:r>
      <w:r w:rsidR="00E310B1" w:rsidRPr="005825D4">
        <w:rPr>
          <w:bCs/>
        </w:rPr>
        <w:t>That organisation</w:t>
      </w:r>
      <w:r w:rsidR="006C2683" w:rsidRPr="005825D4">
        <w:rPr>
          <w:bCs/>
        </w:rPr>
        <w:t xml:space="preserve"> </w:t>
      </w:r>
      <w:r w:rsidR="004B79EF" w:rsidRPr="005825D4">
        <w:rPr>
          <w:bCs/>
        </w:rPr>
        <w:t xml:space="preserve">provided details </w:t>
      </w:r>
      <w:r w:rsidR="00E9638A" w:rsidRPr="005825D4">
        <w:rPr>
          <w:bCs/>
        </w:rPr>
        <w:t>about</w:t>
      </w:r>
      <w:r w:rsidR="004B79EF" w:rsidRPr="005825D4">
        <w:rPr>
          <w:bCs/>
        </w:rPr>
        <w:t xml:space="preserve"> horrific acts of</w:t>
      </w:r>
      <w:r w:rsidR="00E9638A" w:rsidRPr="005825D4">
        <w:rPr>
          <w:bCs/>
        </w:rPr>
        <w:t xml:space="preserve"> violence perpetrated against black lesbians and transgender individuals. </w:t>
      </w:r>
      <w:r w:rsidR="00791B76" w:rsidRPr="005825D4">
        <w:rPr>
          <w:bCs/>
        </w:rPr>
        <w:t>Mr Gregoriou’s evidence in the</w:t>
      </w:r>
      <w:r w:rsidR="00E9638A" w:rsidRPr="005825D4">
        <w:rPr>
          <w:bCs/>
        </w:rPr>
        <w:t xml:space="preserve"> equality court</w:t>
      </w:r>
      <w:r w:rsidR="00791B76" w:rsidRPr="005825D4">
        <w:rPr>
          <w:bCs/>
        </w:rPr>
        <w:t>,</w:t>
      </w:r>
      <w:r w:rsidR="00E9638A" w:rsidRPr="005825D4">
        <w:rPr>
          <w:bCs/>
        </w:rPr>
        <w:t xml:space="preserve"> that it was difficult to have complaints by members of the LGBTI community investigated by the South African Police Service</w:t>
      </w:r>
      <w:r w:rsidR="007C5746" w:rsidRPr="005825D4">
        <w:rPr>
          <w:bCs/>
        </w:rPr>
        <w:t xml:space="preserve"> (the SAPS)</w:t>
      </w:r>
      <w:r w:rsidR="00E9638A" w:rsidRPr="005825D4">
        <w:rPr>
          <w:bCs/>
        </w:rPr>
        <w:t xml:space="preserve">, </w:t>
      </w:r>
      <w:r w:rsidR="00791B76" w:rsidRPr="005825D4">
        <w:rPr>
          <w:bCs/>
        </w:rPr>
        <w:t xml:space="preserve">and that </w:t>
      </w:r>
      <w:r w:rsidR="00E9638A" w:rsidRPr="005825D4">
        <w:rPr>
          <w:bCs/>
        </w:rPr>
        <w:t xml:space="preserve">certain </w:t>
      </w:r>
      <w:r w:rsidR="00FB7FDF" w:rsidRPr="005825D4">
        <w:rPr>
          <w:bCs/>
        </w:rPr>
        <w:t>police officers</w:t>
      </w:r>
      <w:r w:rsidR="00E9638A" w:rsidRPr="005825D4">
        <w:rPr>
          <w:bCs/>
        </w:rPr>
        <w:t xml:space="preserve"> demonstrated </w:t>
      </w:r>
      <w:r w:rsidR="00E9638A" w:rsidRPr="005825D4">
        <w:rPr>
          <w:bCs/>
        </w:rPr>
        <w:lastRenderedPageBreak/>
        <w:t>an anti-LGBTI disposition</w:t>
      </w:r>
      <w:r w:rsidR="00791B76" w:rsidRPr="005825D4">
        <w:rPr>
          <w:bCs/>
        </w:rPr>
        <w:t>, was uncontested</w:t>
      </w:r>
      <w:r w:rsidR="00E9638A" w:rsidRPr="005825D4">
        <w:rPr>
          <w:bCs/>
        </w:rPr>
        <w:t>.</w:t>
      </w:r>
      <w:r w:rsidR="004B79EF" w:rsidRPr="005825D4">
        <w:rPr>
          <w:bCs/>
        </w:rPr>
        <w:t xml:space="preserve"> He testified that </w:t>
      </w:r>
      <w:r w:rsidR="00791B76" w:rsidRPr="005825D4">
        <w:rPr>
          <w:bCs/>
        </w:rPr>
        <w:t>members of the LGBTI community complained of being deni</w:t>
      </w:r>
      <w:r w:rsidR="004B79EF" w:rsidRPr="005825D4">
        <w:rPr>
          <w:bCs/>
        </w:rPr>
        <w:t>ed access to essential services and</w:t>
      </w:r>
      <w:r w:rsidR="00791B76" w:rsidRPr="005825D4">
        <w:rPr>
          <w:bCs/>
        </w:rPr>
        <w:t xml:space="preserve"> were repeatedly exposed to</w:t>
      </w:r>
      <w:r w:rsidR="004B79EF" w:rsidRPr="005825D4">
        <w:rPr>
          <w:bCs/>
        </w:rPr>
        <w:t xml:space="preserve"> abuse by way of</w:t>
      </w:r>
      <w:r w:rsidR="00791B76" w:rsidRPr="005825D4">
        <w:rPr>
          <w:bCs/>
        </w:rPr>
        <w:t xml:space="preserve"> expletives and </w:t>
      </w:r>
      <w:r w:rsidR="0055371A" w:rsidRPr="005825D4">
        <w:rPr>
          <w:bCs/>
        </w:rPr>
        <w:t>hostile</w:t>
      </w:r>
      <w:r w:rsidR="00791B76" w:rsidRPr="005825D4">
        <w:rPr>
          <w:bCs/>
        </w:rPr>
        <w:t xml:space="preserve"> speech. </w:t>
      </w:r>
      <w:r w:rsidR="004B79EF" w:rsidRPr="005825D4">
        <w:rPr>
          <w:bCs/>
        </w:rPr>
        <w:t>In his view</w:t>
      </w:r>
      <w:r w:rsidR="0055371A" w:rsidRPr="005825D4">
        <w:rPr>
          <w:bCs/>
        </w:rPr>
        <w:t>,</w:t>
      </w:r>
      <w:r w:rsidR="00791B76" w:rsidRPr="005825D4">
        <w:rPr>
          <w:bCs/>
        </w:rPr>
        <w:t xml:space="preserve"> Mr Qwelane’s alignment with the </w:t>
      </w:r>
      <w:r w:rsidR="00FB7FDF" w:rsidRPr="005825D4">
        <w:rPr>
          <w:bCs/>
        </w:rPr>
        <w:t>sentiments</w:t>
      </w:r>
      <w:r w:rsidR="00791B76" w:rsidRPr="005825D4">
        <w:rPr>
          <w:bCs/>
        </w:rPr>
        <w:t xml:space="preserve"> of Mr Robert Mugabe</w:t>
      </w:r>
      <w:r w:rsidR="00FB7FDF" w:rsidRPr="005825D4">
        <w:rPr>
          <w:bCs/>
        </w:rPr>
        <w:t xml:space="preserve"> – </w:t>
      </w:r>
      <w:r w:rsidR="00791B76" w:rsidRPr="005825D4">
        <w:rPr>
          <w:bCs/>
        </w:rPr>
        <w:t xml:space="preserve">that </w:t>
      </w:r>
      <w:r w:rsidR="00FB7FDF" w:rsidRPr="005825D4">
        <w:rPr>
          <w:bCs/>
        </w:rPr>
        <w:t>homosexuals</w:t>
      </w:r>
      <w:r w:rsidR="00791B76" w:rsidRPr="005825D4">
        <w:rPr>
          <w:bCs/>
        </w:rPr>
        <w:t xml:space="preserve"> were worse than animals</w:t>
      </w:r>
      <w:r w:rsidR="004B79EF" w:rsidRPr="005825D4">
        <w:rPr>
          <w:bCs/>
        </w:rPr>
        <w:t xml:space="preserve"> </w:t>
      </w:r>
      <w:r w:rsidR="00FB7FDF" w:rsidRPr="005825D4">
        <w:rPr>
          <w:bCs/>
        </w:rPr>
        <w:t xml:space="preserve">– </w:t>
      </w:r>
      <w:r w:rsidR="004B79EF" w:rsidRPr="005825D4">
        <w:rPr>
          <w:bCs/>
        </w:rPr>
        <w:t>was particularly offensive</w:t>
      </w:r>
      <w:r w:rsidR="00791B76" w:rsidRPr="005825D4">
        <w:rPr>
          <w:bCs/>
        </w:rPr>
        <w:t xml:space="preserve">. </w:t>
      </w:r>
      <w:r w:rsidR="00612857" w:rsidRPr="005825D4">
        <w:rPr>
          <w:bCs/>
        </w:rPr>
        <w:t>He</w:t>
      </w:r>
      <w:r w:rsidR="00FB7FDF" w:rsidRPr="005825D4">
        <w:rPr>
          <w:bCs/>
        </w:rPr>
        <w:t xml:space="preserve"> also</w:t>
      </w:r>
      <w:r w:rsidR="00612857" w:rsidRPr="005825D4">
        <w:rPr>
          <w:bCs/>
        </w:rPr>
        <w:t xml:space="preserve"> considered it an aggravation that Mr Qwelane was unrepentant about his bigotry and strident in relation thereto. </w:t>
      </w:r>
    </w:p>
    <w:p w:rsidR="00612857" w:rsidRPr="005825D4" w:rsidRDefault="00612857" w:rsidP="00A722C4">
      <w:pPr>
        <w:spacing w:line="360" w:lineRule="auto"/>
        <w:rPr>
          <w:bCs/>
        </w:rPr>
      </w:pPr>
    </w:p>
    <w:p w:rsidR="00612857" w:rsidRPr="005825D4" w:rsidRDefault="00902D51" w:rsidP="00A722C4">
      <w:pPr>
        <w:spacing w:line="360" w:lineRule="auto"/>
        <w:rPr>
          <w:bCs/>
        </w:rPr>
      </w:pPr>
      <w:r w:rsidRPr="005825D4">
        <w:rPr>
          <w:bCs/>
        </w:rPr>
        <w:t>[16</w:t>
      </w:r>
      <w:r w:rsidR="00612857" w:rsidRPr="005825D4">
        <w:rPr>
          <w:bCs/>
        </w:rPr>
        <w:t>]</w:t>
      </w:r>
      <w:r w:rsidR="00612857" w:rsidRPr="005825D4">
        <w:rPr>
          <w:bCs/>
        </w:rPr>
        <w:tab/>
        <w:t>The HRC also led the evidence of Ms Nonhlanhla Mokoena, the executive director of POWA</w:t>
      </w:r>
      <w:r w:rsidR="004B79EF" w:rsidRPr="005825D4">
        <w:rPr>
          <w:bCs/>
        </w:rPr>
        <w:t>,</w:t>
      </w:r>
      <w:r w:rsidR="00612857" w:rsidRPr="005825D4">
        <w:rPr>
          <w:bCs/>
        </w:rPr>
        <w:t xml:space="preserve"> which provides support, counselling and shelter to female survivors of domesti</w:t>
      </w:r>
      <w:r w:rsidR="004B79EF" w:rsidRPr="005825D4">
        <w:rPr>
          <w:bCs/>
        </w:rPr>
        <w:t>c violence in</w:t>
      </w:r>
      <w:r w:rsidR="00FB7FDF" w:rsidRPr="005825D4">
        <w:rPr>
          <w:bCs/>
        </w:rPr>
        <w:t xml:space="preserve"> previously disadvantages communities</w:t>
      </w:r>
      <w:r w:rsidR="004B79EF" w:rsidRPr="005825D4">
        <w:rPr>
          <w:bCs/>
        </w:rPr>
        <w:t xml:space="preserve">, </w:t>
      </w:r>
      <w:r w:rsidR="00612857" w:rsidRPr="005825D4">
        <w:rPr>
          <w:bCs/>
        </w:rPr>
        <w:t>particular</w:t>
      </w:r>
      <w:r w:rsidR="004B79EF" w:rsidRPr="005825D4">
        <w:rPr>
          <w:bCs/>
        </w:rPr>
        <w:t>ly</w:t>
      </w:r>
      <w:r w:rsidR="00E310B1" w:rsidRPr="005825D4">
        <w:rPr>
          <w:bCs/>
        </w:rPr>
        <w:t xml:space="preserve"> to lesbians. </w:t>
      </w:r>
      <w:r w:rsidR="004B79EF" w:rsidRPr="005825D4">
        <w:rPr>
          <w:bCs/>
        </w:rPr>
        <w:t>Ms Mokoena</w:t>
      </w:r>
      <w:r w:rsidR="00612857" w:rsidRPr="005825D4">
        <w:rPr>
          <w:bCs/>
        </w:rPr>
        <w:t xml:space="preserve"> echoed those parts of the evidence of Mr Gregoriou </w:t>
      </w:r>
      <w:r w:rsidR="004B79EF" w:rsidRPr="005825D4">
        <w:rPr>
          <w:bCs/>
        </w:rPr>
        <w:t>about how members of the LGBTI community were treated</w:t>
      </w:r>
      <w:r w:rsidR="00612857" w:rsidRPr="005825D4">
        <w:rPr>
          <w:bCs/>
        </w:rPr>
        <w:t xml:space="preserve">. She reported </w:t>
      </w:r>
      <w:r w:rsidR="00A84F67" w:rsidRPr="005825D4">
        <w:rPr>
          <w:bCs/>
        </w:rPr>
        <w:t>an instance</w:t>
      </w:r>
      <w:r w:rsidR="00612857" w:rsidRPr="005825D4">
        <w:rPr>
          <w:bCs/>
        </w:rPr>
        <w:t xml:space="preserve"> where police officers refused to open a case of rape because the complainant was a lesbian</w:t>
      </w:r>
      <w:r w:rsidR="00FB7FDF" w:rsidRPr="005825D4">
        <w:rPr>
          <w:bCs/>
        </w:rPr>
        <w:t xml:space="preserve"> and</w:t>
      </w:r>
      <w:r w:rsidR="00612857" w:rsidRPr="005825D4">
        <w:rPr>
          <w:bCs/>
        </w:rPr>
        <w:t>,</w:t>
      </w:r>
      <w:r w:rsidR="00FB7FDF" w:rsidRPr="005825D4">
        <w:rPr>
          <w:bCs/>
        </w:rPr>
        <w:t xml:space="preserve"> according to the officers, </w:t>
      </w:r>
      <w:r w:rsidR="00612857" w:rsidRPr="005825D4">
        <w:rPr>
          <w:bCs/>
        </w:rPr>
        <w:t xml:space="preserve">‘boys cannot be raped’. In this regard a number of complaints were lodged with the HRC. The incidents testified to by Ms Mokoena were horrific. So, for example, a former woman’s national soccer team member had been gang-raped </w:t>
      </w:r>
      <w:r w:rsidR="00FB7FDF" w:rsidRPr="005825D4">
        <w:rPr>
          <w:bCs/>
        </w:rPr>
        <w:t xml:space="preserve">and brutally murdered </w:t>
      </w:r>
      <w:r w:rsidR="00612857" w:rsidRPr="005825D4">
        <w:rPr>
          <w:bCs/>
        </w:rPr>
        <w:t xml:space="preserve">by five men. Another incident involved the stoning to death of a lesbian in KwaZulu-Natal. Yet another involved the rape and murder of </w:t>
      </w:r>
      <w:r w:rsidR="00FB7FDF" w:rsidRPr="005825D4">
        <w:rPr>
          <w:bCs/>
        </w:rPr>
        <w:t xml:space="preserve">both </w:t>
      </w:r>
      <w:r w:rsidR="00612857" w:rsidRPr="005825D4">
        <w:rPr>
          <w:bCs/>
        </w:rPr>
        <w:t>a member of a support group for women living with HIV/AIDS</w:t>
      </w:r>
      <w:r w:rsidR="006C2050" w:rsidRPr="005825D4">
        <w:rPr>
          <w:bCs/>
        </w:rPr>
        <w:t xml:space="preserve"> </w:t>
      </w:r>
      <w:r w:rsidR="00FB7FDF" w:rsidRPr="005825D4">
        <w:rPr>
          <w:bCs/>
        </w:rPr>
        <w:t>and</w:t>
      </w:r>
      <w:r w:rsidR="00612857" w:rsidRPr="005825D4">
        <w:rPr>
          <w:bCs/>
        </w:rPr>
        <w:t xml:space="preserve"> </w:t>
      </w:r>
      <w:r w:rsidR="006C2050" w:rsidRPr="005825D4">
        <w:rPr>
          <w:bCs/>
        </w:rPr>
        <w:t>h</w:t>
      </w:r>
      <w:r w:rsidR="00612857" w:rsidRPr="005825D4">
        <w:rPr>
          <w:bCs/>
        </w:rPr>
        <w:t>er 2-year old daughter</w:t>
      </w:r>
      <w:r w:rsidR="0005265B" w:rsidRPr="005825D4">
        <w:rPr>
          <w:bCs/>
        </w:rPr>
        <w:t>.</w:t>
      </w:r>
      <w:r w:rsidR="00612857" w:rsidRPr="005825D4">
        <w:rPr>
          <w:bCs/>
        </w:rPr>
        <w:t xml:space="preserve"> </w:t>
      </w:r>
    </w:p>
    <w:p w:rsidR="00FD1843" w:rsidRPr="005825D4" w:rsidRDefault="00FD1843" w:rsidP="00A722C4">
      <w:pPr>
        <w:spacing w:line="360" w:lineRule="auto"/>
        <w:rPr>
          <w:bCs/>
        </w:rPr>
      </w:pPr>
    </w:p>
    <w:p w:rsidR="00FD1843" w:rsidRPr="005825D4" w:rsidRDefault="00902D51" w:rsidP="00A722C4">
      <w:pPr>
        <w:spacing w:line="360" w:lineRule="auto"/>
        <w:rPr>
          <w:bCs/>
        </w:rPr>
      </w:pPr>
      <w:r w:rsidRPr="005825D4">
        <w:rPr>
          <w:bCs/>
        </w:rPr>
        <w:t>[17</w:t>
      </w:r>
      <w:r w:rsidR="00FD1843" w:rsidRPr="005825D4">
        <w:rPr>
          <w:bCs/>
        </w:rPr>
        <w:t>]</w:t>
      </w:r>
      <w:r w:rsidR="00FD1843" w:rsidRPr="005825D4">
        <w:rPr>
          <w:bCs/>
        </w:rPr>
        <w:tab/>
        <w:t xml:space="preserve">A further witness called by the HRC, a black lesbian, testified about how she was barred from the use of toilet facilities, had been attacked verbally and </w:t>
      </w:r>
      <w:r w:rsidR="00B6212E" w:rsidRPr="005825D4">
        <w:rPr>
          <w:bCs/>
        </w:rPr>
        <w:t>physically</w:t>
      </w:r>
      <w:r w:rsidR="00FD1843" w:rsidRPr="005825D4">
        <w:rPr>
          <w:bCs/>
        </w:rPr>
        <w:t xml:space="preserve"> because of her sexual orientation and had lost her job because of it. </w:t>
      </w:r>
      <w:r w:rsidR="00B6212E" w:rsidRPr="005825D4">
        <w:rPr>
          <w:bCs/>
        </w:rPr>
        <w:t>She testified about her reaction to the offensive article by Mr Qwelane. She considered it to be an attack on her dignity and her right to equality. She took the view that the law did not protect people like her</w:t>
      </w:r>
      <w:r w:rsidR="00143A19" w:rsidRPr="005825D4">
        <w:rPr>
          <w:bCs/>
        </w:rPr>
        <w:t xml:space="preserve"> and</w:t>
      </w:r>
      <w:r w:rsidR="00591DAC" w:rsidRPr="005825D4">
        <w:rPr>
          <w:bCs/>
        </w:rPr>
        <w:t xml:space="preserve"> had a sense of </w:t>
      </w:r>
      <w:r w:rsidR="0005265B" w:rsidRPr="005825D4">
        <w:rPr>
          <w:bCs/>
        </w:rPr>
        <w:t>‘</w:t>
      </w:r>
      <w:r w:rsidR="00591DAC" w:rsidRPr="005825D4">
        <w:rPr>
          <w:bCs/>
        </w:rPr>
        <w:t>having passed on</w:t>
      </w:r>
      <w:r w:rsidR="0005265B" w:rsidRPr="005825D4">
        <w:rPr>
          <w:bCs/>
        </w:rPr>
        <w:t>’</w:t>
      </w:r>
      <w:r w:rsidR="00591DAC" w:rsidRPr="005825D4">
        <w:rPr>
          <w:bCs/>
        </w:rPr>
        <w:t xml:space="preserve">. </w:t>
      </w:r>
    </w:p>
    <w:p w:rsidR="00591DAC" w:rsidRPr="005825D4" w:rsidRDefault="00591DAC" w:rsidP="00A722C4">
      <w:pPr>
        <w:spacing w:line="360" w:lineRule="auto"/>
        <w:rPr>
          <w:bCs/>
        </w:rPr>
      </w:pPr>
    </w:p>
    <w:p w:rsidR="00591DAC" w:rsidRPr="005825D4" w:rsidRDefault="00902D51" w:rsidP="00A722C4">
      <w:pPr>
        <w:spacing w:line="360" w:lineRule="auto"/>
        <w:rPr>
          <w:bCs/>
        </w:rPr>
      </w:pPr>
      <w:r w:rsidRPr="005825D4">
        <w:rPr>
          <w:bCs/>
        </w:rPr>
        <w:t>[18</w:t>
      </w:r>
      <w:r w:rsidR="00591DAC" w:rsidRPr="005825D4">
        <w:rPr>
          <w:bCs/>
        </w:rPr>
        <w:t>]</w:t>
      </w:r>
      <w:r w:rsidR="00591DAC" w:rsidRPr="005825D4">
        <w:rPr>
          <w:bCs/>
        </w:rPr>
        <w:tab/>
        <w:t>Mr Ben Viljoen, a deputy editor of the Sunday Sun at the time of the publishing of the article, testified in support of Mr Qwelane.</w:t>
      </w:r>
      <w:r w:rsidR="00641586" w:rsidRPr="005825D4">
        <w:rPr>
          <w:bCs/>
        </w:rPr>
        <w:t xml:space="preserve"> At the time of publication, Mr Viljoen was the production editor, which meant that he drove the whole process before publication. It involved making certain that everybody </w:t>
      </w:r>
      <w:r w:rsidR="009473B3" w:rsidRPr="005825D4">
        <w:rPr>
          <w:bCs/>
        </w:rPr>
        <w:t>submitted</w:t>
      </w:r>
      <w:r w:rsidR="00641586" w:rsidRPr="005825D4">
        <w:rPr>
          <w:bCs/>
        </w:rPr>
        <w:t xml:space="preserve"> content on time and that it was produced in line with the style of the newspaper. Mr Qwelane’s article fell under the </w:t>
      </w:r>
      <w:r w:rsidR="00641586" w:rsidRPr="005825D4">
        <w:rPr>
          <w:bCs/>
        </w:rPr>
        <w:lastRenderedPageBreak/>
        <w:t>‘conversation page</w:t>
      </w:r>
      <w:r w:rsidR="009473B3" w:rsidRPr="005825D4">
        <w:rPr>
          <w:bCs/>
        </w:rPr>
        <w:t>s’. That part of the newspaper</w:t>
      </w:r>
      <w:r w:rsidR="00641586" w:rsidRPr="005825D4">
        <w:rPr>
          <w:bCs/>
        </w:rPr>
        <w:t xml:space="preserve">, was intended to deal with current events and promote debate about the issues raised. The success of the page </w:t>
      </w:r>
      <w:r w:rsidR="00CD7647" w:rsidRPr="005825D4">
        <w:rPr>
          <w:bCs/>
        </w:rPr>
        <w:t>could</w:t>
      </w:r>
      <w:r w:rsidR="00641586" w:rsidRPr="005825D4">
        <w:rPr>
          <w:bCs/>
        </w:rPr>
        <w:t xml:space="preserve"> be measured by response</w:t>
      </w:r>
      <w:r w:rsidR="00E310B1" w:rsidRPr="005825D4">
        <w:rPr>
          <w:bCs/>
        </w:rPr>
        <w:t>s</w:t>
      </w:r>
      <w:r w:rsidR="00641586" w:rsidRPr="005825D4">
        <w:rPr>
          <w:bCs/>
        </w:rPr>
        <w:t>, positive or negative. Articles like Mr Qwelane’s were submitted directly to the publisher</w:t>
      </w:r>
      <w:r w:rsidR="00A01BBA" w:rsidRPr="005825D4">
        <w:rPr>
          <w:bCs/>
        </w:rPr>
        <w:t xml:space="preserve"> for his or her ultimate authority to publish. Occasionally, the publ</w:t>
      </w:r>
      <w:r w:rsidR="00143A19" w:rsidRPr="005825D4">
        <w:rPr>
          <w:bCs/>
        </w:rPr>
        <w:t xml:space="preserve">isher </w:t>
      </w:r>
      <w:r w:rsidR="009473B3" w:rsidRPr="005825D4">
        <w:rPr>
          <w:bCs/>
        </w:rPr>
        <w:t>would</w:t>
      </w:r>
      <w:r w:rsidR="00143A19" w:rsidRPr="005825D4">
        <w:rPr>
          <w:bCs/>
        </w:rPr>
        <w:t xml:space="preserve"> discuss the content</w:t>
      </w:r>
      <w:r w:rsidR="00A01BBA" w:rsidRPr="005825D4">
        <w:rPr>
          <w:bCs/>
        </w:rPr>
        <w:t xml:space="preserve">. If he or she was satisfied with the content, grammar would be corrected and it would then be ready for publication. In the case of the Sunday Sun, the publisher took on the role of the editor. </w:t>
      </w:r>
      <w:r w:rsidR="00DB2EA8" w:rsidRPr="005825D4">
        <w:rPr>
          <w:bCs/>
        </w:rPr>
        <w:t xml:space="preserve">Mr Qwelane did not provide the headline to his </w:t>
      </w:r>
      <w:r w:rsidR="00A01BBA" w:rsidRPr="005825D4">
        <w:rPr>
          <w:bCs/>
        </w:rPr>
        <w:t>article</w:t>
      </w:r>
      <w:r w:rsidR="00DB2EA8" w:rsidRPr="005825D4">
        <w:rPr>
          <w:bCs/>
        </w:rPr>
        <w:t xml:space="preserve">. A copy sub-editor read the </w:t>
      </w:r>
      <w:r w:rsidR="009473B3" w:rsidRPr="005825D4">
        <w:rPr>
          <w:bCs/>
        </w:rPr>
        <w:t>article</w:t>
      </w:r>
      <w:r w:rsidR="00DB2EA8" w:rsidRPr="005825D4">
        <w:rPr>
          <w:bCs/>
        </w:rPr>
        <w:t xml:space="preserve"> and then put</w:t>
      </w:r>
      <w:r w:rsidR="00A01BBA" w:rsidRPr="005825D4">
        <w:rPr>
          <w:bCs/>
        </w:rPr>
        <w:t xml:space="preserve"> a headline into the space</w:t>
      </w:r>
      <w:r w:rsidR="00DB2EA8" w:rsidRPr="005825D4">
        <w:rPr>
          <w:bCs/>
        </w:rPr>
        <w:t xml:space="preserve"> above it</w:t>
      </w:r>
      <w:r w:rsidR="00A01BBA" w:rsidRPr="005825D4">
        <w:rPr>
          <w:bCs/>
        </w:rPr>
        <w:t>. Headline writing for a tabloid n</w:t>
      </w:r>
      <w:r w:rsidR="00621E15" w:rsidRPr="005825D4">
        <w:rPr>
          <w:bCs/>
        </w:rPr>
        <w:t>ewspaper such as the Sunday Sun</w:t>
      </w:r>
      <w:r w:rsidR="00A01BBA" w:rsidRPr="005825D4">
        <w:rPr>
          <w:bCs/>
        </w:rPr>
        <w:t xml:space="preserve"> is a very specific exerci</w:t>
      </w:r>
      <w:r w:rsidR="00AC4095" w:rsidRPr="005825D4">
        <w:rPr>
          <w:bCs/>
        </w:rPr>
        <w:t>se. Headlines are required to be</w:t>
      </w:r>
      <w:r w:rsidR="00A01BBA" w:rsidRPr="005825D4">
        <w:rPr>
          <w:bCs/>
        </w:rPr>
        <w:t xml:space="preserve"> ‘</w:t>
      </w:r>
      <w:r w:rsidR="00341E0C" w:rsidRPr="005825D4">
        <w:rPr>
          <w:bCs/>
        </w:rPr>
        <w:t>punchy</w:t>
      </w:r>
      <w:r w:rsidR="00A01BBA" w:rsidRPr="005825D4">
        <w:rPr>
          <w:bCs/>
        </w:rPr>
        <w:t xml:space="preserve">’. </w:t>
      </w:r>
      <w:r w:rsidR="00341E0C" w:rsidRPr="005825D4">
        <w:rPr>
          <w:bCs/>
        </w:rPr>
        <w:t xml:space="preserve">Mr Qwelane had no say in the headline. </w:t>
      </w:r>
      <w:r w:rsidR="009473B3" w:rsidRPr="005825D4">
        <w:rPr>
          <w:bCs/>
        </w:rPr>
        <w:t>As stated above</w:t>
      </w:r>
      <w:r w:rsidR="00341E0C" w:rsidRPr="005825D4">
        <w:rPr>
          <w:bCs/>
        </w:rPr>
        <w:t xml:space="preserve">, Mr Qwelane had no say </w:t>
      </w:r>
      <w:r w:rsidR="009473B3" w:rsidRPr="005825D4">
        <w:rPr>
          <w:bCs/>
        </w:rPr>
        <w:t xml:space="preserve">in the cartoon either, </w:t>
      </w:r>
      <w:r w:rsidR="00341E0C" w:rsidRPr="005825D4">
        <w:rPr>
          <w:bCs/>
        </w:rPr>
        <w:t xml:space="preserve">and would not have seen it prior to publication. Cartoons are not always related to </w:t>
      </w:r>
      <w:r w:rsidR="009473B3" w:rsidRPr="005825D4">
        <w:rPr>
          <w:bCs/>
        </w:rPr>
        <w:t xml:space="preserve">the </w:t>
      </w:r>
      <w:r w:rsidR="00341E0C" w:rsidRPr="005825D4">
        <w:rPr>
          <w:bCs/>
        </w:rPr>
        <w:t>content</w:t>
      </w:r>
      <w:r w:rsidR="009473B3" w:rsidRPr="005825D4">
        <w:rPr>
          <w:bCs/>
        </w:rPr>
        <w:t xml:space="preserve"> that they neighbour</w:t>
      </w:r>
      <w:r w:rsidR="00341E0C" w:rsidRPr="005825D4">
        <w:rPr>
          <w:bCs/>
        </w:rPr>
        <w:t xml:space="preserve">. A </w:t>
      </w:r>
      <w:r w:rsidR="009473B3" w:rsidRPr="005825D4">
        <w:rPr>
          <w:bCs/>
        </w:rPr>
        <w:t>contributor</w:t>
      </w:r>
      <w:r w:rsidR="00341E0C" w:rsidRPr="005825D4">
        <w:rPr>
          <w:bCs/>
        </w:rPr>
        <w:t xml:space="preserve">, like Mr Qwelane, would not necessarily expect a cartoon </w:t>
      </w:r>
      <w:r w:rsidR="009473B3" w:rsidRPr="005825D4">
        <w:rPr>
          <w:bCs/>
        </w:rPr>
        <w:t>to accompany the column or their contribution</w:t>
      </w:r>
      <w:r w:rsidR="00341E0C" w:rsidRPr="005825D4">
        <w:rPr>
          <w:bCs/>
        </w:rPr>
        <w:t xml:space="preserve">. </w:t>
      </w:r>
    </w:p>
    <w:p w:rsidR="00ED052A" w:rsidRPr="005825D4" w:rsidRDefault="00ED052A" w:rsidP="00A722C4">
      <w:pPr>
        <w:spacing w:line="360" w:lineRule="auto"/>
        <w:rPr>
          <w:bCs/>
        </w:rPr>
      </w:pPr>
    </w:p>
    <w:p w:rsidR="00ED052A" w:rsidRPr="005825D4" w:rsidRDefault="00902D51" w:rsidP="00A722C4">
      <w:pPr>
        <w:spacing w:line="360" w:lineRule="auto"/>
        <w:rPr>
          <w:bCs/>
        </w:rPr>
      </w:pPr>
      <w:r w:rsidRPr="005825D4">
        <w:rPr>
          <w:bCs/>
        </w:rPr>
        <w:t>[19</w:t>
      </w:r>
      <w:r w:rsidR="00CD7647" w:rsidRPr="005825D4">
        <w:rPr>
          <w:bCs/>
        </w:rPr>
        <w:t>]</w:t>
      </w:r>
      <w:r w:rsidR="00CD7647" w:rsidRPr="005825D4">
        <w:rPr>
          <w:bCs/>
        </w:rPr>
        <w:tab/>
        <w:t>Mr Viljoen testified that</w:t>
      </w:r>
      <w:r w:rsidR="00ED052A" w:rsidRPr="005825D4">
        <w:rPr>
          <w:bCs/>
        </w:rPr>
        <w:t xml:space="preserve"> a </w:t>
      </w:r>
      <w:r w:rsidR="00CD7647" w:rsidRPr="005825D4">
        <w:rPr>
          <w:bCs/>
        </w:rPr>
        <w:t>week after the article appeared</w:t>
      </w:r>
      <w:r w:rsidR="00ED052A" w:rsidRPr="005825D4">
        <w:rPr>
          <w:bCs/>
        </w:rPr>
        <w:t xml:space="preserve"> a headline banner for the newspaper indicated</w:t>
      </w:r>
      <w:r w:rsidR="0031205C" w:rsidRPr="005825D4">
        <w:rPr>
          <w:bCs/>
        </w:rPr>
        <w:t xml:space="preserve"> that</w:t>
      </w:r>
      <w:r w:rsidR="00ED052A" w:rsidRPr="005825D4">
        <w:rPr>
          <w:bCs/>
        </w:rPr>
        <w:t xml:space="preserve"> Mr Qwelane had taken a beating. This related to a report in the newspaper that Mr Qwelane’s article had caused an uproar. The Sunday Sun</w:t>
      </w:r>
      <w:r w:rsidR="004C1385" w:rsidRPr="005825D4">
        <w:rPr>
          <w:bCs/>
        </w:rPr>
        <w:t xml:space="preserve"> also</w:t>
      </w:r>
      <w:r w:rsidR="00ED052A" w:rsidRPr="005825D4">
        <w:rPr>
          <w:bCs/>
        </w:rPr>
        <w:t xml:space="preserve"> published a full page of complaints. This was the only time that</w:t>
      </w:r>
      <w:r w:rsidR="00DB2EA8" w:rsidRPr="005825D4">
        <w:rPr>
          <w:bCs/>
        </w:rPr>
        <w:t xml:space="preserve"> </w:t>
      </w:r>
      <w:r w:rsidR="009473B3" w:rsidRPr="005825D4">
        <w:rPr>
          <w:bCs/>
        </w:rPr>
        <w:t>this</w:t>
      </w:r>
      <w:r w:rsidR="00DB2EA8" w:rsidRPr="005825D4">
        <w:rPr>
          <w:bCs/>
        </w:rPr>
        <w:t xml:space="preserve"> had occurred. The complainants</w:t>
      </w:r>
      <w:r w:rsidR="00ED052A" w:rsidRPr="005825D4">
        <w:rPr>
          <w:bCs/>
        </w:rPr>
        <w:t xml:space="preserve"> </w:t>
      </w:r>
      <w:r w:rsidR="009473B3" w:rsidRPr="005825D4">
        <w:rPr>
          <w:bCs/>
        </w:rPr>
        <w:t>were adamant</w:t>
      </w:r>
      <w:r w:rsidR="00ED052A" w:rsidRPr="005825D4">
        <w:rPr>
          <w:bCs/>
        </w:rPr>
        <w:t xml:space="preserve"> that </w:t>
      </w:r>
      <w:r w:rsidR="009473B3" w:rsidRPr="005825D4">
        <w:rPr>
          <w:bCs/>
        </w:rPr>
        <w:t>Mr Qwelane</w:t>
      </w:r>
      <w:r w:rsidR="00ED052A" w:rsidRPr="005825D4">
        <w:rPr>
          <w:bCs/>
        </w:rPr>
        <w:t xml:space="preserve"> was guilty of hate speech</w:t>
      </w:r>
      <w:r w:rsidR="009473B3" w:rsidRPr="005825D4">
        <w:rPr>
          <w:bCs/>
        </w:rPr>
        <w:t xml:space="preserve"> and called for action to be taken against him</w:t>
      </w:r>
      <w:r w:rsidR="00ED052A" w:rsidRPr="005825D4">
        <w:rPr>
          <w:bCs/>
        </w:rPr>
        <w:t xml:space="preserve">. </w:t>
      </w:r>
    </w:p>
    <w:p w:rsidR="00ED052A" w:rsidRPr="005825D4" w:rsidRDefault="00ED052A" w:rsidP="00A722C4">
      <w:pPr>
        <w:spacing w:line="360" w:lineRule="auto"/>
        <w:rPr>
          <w:bCs/>
        </w:rPr>
      </w:pPr>
    </w:p>
    <w:p w:rsidR="00ED052A" w:rsidRPr="005825D4" w:rsidRDefault="00902D51" w:rsidP="00A722C4">
      <w:pPr>
        <w:spacing w:line="360" w:lineRule="auto"/>
        <w:rPr>
          <w:bCs/>
        </w:rPr>
      </w:pPr>
      <w:r w:rsidRPr="005825D4">
        <w:rPr>
          <w:bCs/>
        </w:rPr>
        <w:t>[20</w:t>
      </w:r>
      <w:r w:rsidR="00ED052A" w:rsidRPr="005825D4">
        <w:rPr>
          <w:bCs/>
        </w:rPr>
        <w:t>]</w:t>
      </w:r>
      <w:r w:rsidR="00ED052A" w:rsidRPr="005825D4">
        <w:rPr>
          <w:bCs/>
        </w:rPr>
        <w:tab/>
        <w:t xml:space="preserve">It is uncontested that the readership of the Sunday Sun is 99 per cent black. In Mr Viljoen’s view, the complaints did not emanate from the Sunday Sun’s regular subscribers. </w:t>
      </w:r>
      <w:r w:rsidR="00CF046A" w:rsidRPr="005825D4">
        <w:rPr>
          <w:bCs/>
        </w:rPr>
        <w:t xml:space="preserve">It does not appear </w:t>
      </w:r>
      <w:r w:rsidR="00AC4095" w:rsidRPr="005825D4">
        <w:rPr>
          <w:bCs/>
        </w:rPr>
        <w:t>that</w:t>
      </w:r>
      <w:r w:rsidR="00CF046A" w:rsidRPr="005825D4">
        <w:rPr>
          <w:bCs/>
        </w:rPr>
        <w:t xml:space="preserve"> the Sunday Sun took any disciplinary action against Mr Qwelane. Mr Viljoen was not aware of an unqualified apology by the Sunday Sun. An apology by the publisher, Mr Du Plessis, was diluted. He stated that no wrong had been committed but he apologised anyway. </w:t>
      </w:r>
    </w:p>
    <w:p w:rsidR="00ED7487" w:rsidRPr="005825D4" w:rsidRDefault="00ED7487" w:rsidP="00A722C4">
      <w:pPr>
        <w:spacing w:line="360" w:lineRule="auto"/>
        <w:rPr>
          <w:bCs/>
        </w:rPr>
      </w:pPr>
    </w:p>
    <w:p w:rsidR="00ED7487" w:rsidRPr="005825D4" w:rsidRDefault="00902D51" w:rsidP="00A722C4">
      <w:pPr>
        <w:spacing w:line="360" w:lineRule="auto"/>
        <w:rPr>
          <w:bCs/>
        </w:rPr>
      </w:pPr>
      <w:r w:rsidRPr="005825D4">
        <w:rPr>
          <w:bCs/>
        </w:rPr>
        <w:t>[21</w:t>
      </w:r>
      <w:r w:rsidR="00ED7487" w:rsidRPr="005825D4">
        <w:rPr>
          <w:bCs/>
        </w:rPr>
        <w:t>]</w:t>
      </w:r>
      <w:r w:rsidR="00ED7487" w:rsidRPr="005825D4">
        <w:rPr>
          <w:bCs/>
        </w:rPr>
        <w:tab/>
        <w:t xml:space="preserve">Mr Viljoen’s response to a question about whether he </w:t>
      </w:r>
      <w:r w:rsidR="008C782C" w:rsidRPr="005825D4">
        <w:rPr>
          <w:bCs/>
        </w:rPr>
        <w:t xml:space="preserve">had </w:t>
      </w:r>
      <w:r w:rsidR="00ED7487" w:rsidRPr="005825D4">
        <w:rPr>
          <w:bCs/>
        </w:rPr>
        <w:t>found the article offensive was that he thought it was ‘reprehensible’. He took the view that the article should not have been published</w:t>
      </w:r>
      <w:r w:rsidR="009473B3" w:rsidRPr="005825D4">
        <w:rPr>
          <w:bCs/>
        </w:rPr>
        <w:t>,</w:t>
      </w:r>
      <w:r w:rsidR="00ED7487" w:rsidRPr="005825D4">
        <w:rPr>
          <w:bCs/>
        </w:rPr>
        <w:t xml:space="preserve"> but was adamant that the drivel it contained should not </w:t>
      </w:r>
      <w:r w:rsidR="00ED7487" w:rsidRPr="005825D4">
        <w:rPr>
          <w:bCs/>
        </w:rPr>
        <w:lastRenderedPageBreak/>
        <w:t>be considered illegal. Under cross-examination, Mr Viljoen agreed that members of the LGBTI community would find the article offensive</w:t>
      </w:r>
      <w:r w:rsidR="00A84F67" w:rsidRPr="005825D4">
        <w:rPr>
          <w:bCs/>
        </w:rPr>
        <w:t xml:space="preserve"> but testified that Mr Qwelane’s views reflected those of a large proportion of the Sunday Sun’s readers</w:t>
      </w:r>
      <w:r w:rsidR="00ED7487" w:rsidRPr="005825D4">
        <w:rPr>
          <w:bCs/>
        </w:rPr>
        <w:t xml:space="preserve">. </w:t>
      </w:r>
    </w:p>
    <w:p w:rsidR="00ED7487" w:rsidRPr="005825D4" w:rsidRDefault="00ED7487" w:rsidP="00A722C4">
      <w:pPr>
        <w:spacing w:line="360" w:lineRule="auto"/>
        <w:rPr>
          <w:bCs/>
        </w:rPr>
      </w:pPr>
    </w:p>
    <w:p w:rsidR="00ED7487" w:rsidRPr="005825D4" w:rsidRDefault="00902D51" w:rsidP="00A722C4">
      <w:pPr>
        <w:spacing w:line="360" w:lineRule="auto"/>
        <w:rPr>
          <w:bCs/>
        </w:rPr>
      </w:pPr>
      <w:r w:rsidRPr="005825D4">
        <w:rPr>
          <w:bCs/>
        </w:rPr>
        <w:t>[22</w:t>
      </w:r>
      <w:r w:rsidR="00ED7487" w:rsidRPr="005825D4">
        <w:rPr>
          <w:bCs/>
        </w:rPr>
        <w:t>]</w:t>
      </w:r>
      <w:r w:rsidR="00ED7487" w:rsidRPr="005825D4">
        <w:rPr>
          <w:bCs/>
        </w:rPr>
        <w:tab/>
        <w:t xml:space="preserve">The </w:t>
      </w:r>
      <w:r w:rsidR="004C1385" w:rsidRPr="005825D4">
        <w:rPr>
          <w:bCs/>
        </w:rPr>
        <w:t>Society</w:t>
      </w:r>
      <w:r w:rsidR="00ED7487" w:rsidRPr="005825D4">
        <w:rPr>
          <w:bCs/>
        </w:rPr>
        <w:t xml:space="preserve"> adduced the evidence of Professor Nel</w:t>
      </w:r>
      <w:r w:rsidR="00CD5368" w:rsidRPr="005825D4">
        <w:rPr>
          <w:bCs/>
        </w:rPr>
        <w:t>, a research professor at the University of South Africa</w:t>
      </w:r>
      <w:r w:rsidR="00ED7487" w:rsidRPr="005825D4">
        <w:rPr>
          <w:bCs/>
        </w:rPr>
        <w:t xml:space="preserve">. </w:t>
      </w:r>
      <w:r w:rsidR="00CD5368" w:rsidRPr="005825D4">
        <w:rPr>
          <w:bCs/>
        </w:rPr>
        <w:t xml:space="preserve">Professor Nel is a former president of the Society. </w:t>
      </w:r>
      <w:r w:rsidR="008165AC" w:rsidRPr="005825D4">
        <w:rPr>
          <w:bCs/>
        </w:rPr>
        <w:t>He testified with reference to articles he</w:t>
      </w:r>
      <w:r w:rsidR="006C2050" w:rsidRPr="005825D4">
        <w:rPr>
          <w:bCs/>
        </w:rPr>
        <w:t xml:space="preserve"> had</w:t>
      </w:r>
      <w:r w:rsidR="008165AC" w:rsidRPr="005825D4">
        <w:rPr>
          <w:bCs/>
        </w:rPr>
        <w:t xml:space="preserve"> co-authored and research </w:t>
      </w:r>
      <w:r w:rsidR="00CD5368" w:rsidRPr="005825D4">
        <w:rPr>
          <w:bCs/>
        </w:rPr>
        <w:t>that</w:t>
      </w:r>
      <w:r w:rsidR="008165AC" w:rsidRPr="005825D4">
        <w:rPr>
          <w:bCs/>
        </w:rPr>
        <w:t xml:space="preserve"> had </w:t>
      </w:r>
      <w:r w:rsidR="00CD5368" w:rsidRPr="005825D4">
        <w:rPr>
          <w:bCs/>
        </w:rPr>
        <w:t xml:space="preserve">been </w:t>
      </w:r>
      <w:r w:rsidR="008165AC" w:rsidRPr="005825D4">
        <w:rPr>
          <w:bCs/>
        </w:rPr>
        <w:t>conducted. The first article he referred to is entitled ‘Exploring Homophobic Victimisation in Gauteng, South Africa: Issues, Impacts and Responses’.</w:t>
      </w:r>
      <w:r w:rsidR="00A84F67" w:rsidRPr="005825D4">
        <w:rPr>
          <w:rStyle w:val="FootnoteReference"/>
          <w:bCs/>
        </w:rPr>
        <w:footnoteReference w:id="13"/>
      </w:r>
      <w:r w:rsidR="008165AC" w:rsidRPr="005825D4">
        <w:rPr>
          <w:bCs/>
        </w:rPr>
        <w:t xml:space="preserve"> A report he compiled, along with others, is entitled ‘Factors Affecting Vulnerability to depression among gay men and lesbian women in Gauteng, South Africa’.</w:t>
      </w:r>
      <w:r w:rsidR="00DC1504" w:rsidRPr="005825D4">
        <w:rPr>
          <w:rStyle w:val="FootnoteReference"/>
          <w:bCs/>
        </w:rPr>
        <w:footnoteReference w:id="14"/>
      </w:r>
      <w:r w:rsidR="008165AC" w:rsidRPr="005825D4">
        <w:rPr>
          <w:bCs/>
        </w:rPr>
        <w:t xml:space="preserve"> </w:t>
      </w:r>
    </w:p>
    <w:p w:rsidR="00CD5368" w:rsidRPr="005825D4" w:rsidRDefault="00CD5368" w:rsidP="00A722C4">
      <w:pPr>
        <w:spacing w:line="360" w:lineRule="auto"/>
        <w:rPr>
          <w:bCs/>
        </w:rPr>
      </w:pPr>
    </w:p>
    <w:p w:rsidR="00CD5368" w:rsidRPr="005825D4" w:rsidRDefault="00902D51" w:rsidP="00A722C4">
      <w:pPr>
        <w:spacing w:line="360" w:lineRule="auto"/>
        <w:rPr>
          <w:bCs/>
        </w:rPr>
      </w:pPr>
      <w:r w:rsidRPr="005825D4">
        <w:rPr>
          <w:bCs/>
        </w:rPr>
        <w:t>[23</w:t>
      </w:r>
      <w:r w:rsidR="00967508" w:rsidRPr="005825D4">
        <w:rPr>
          <w:bCs/>
        </w:rPr>
        <w:t>]</w:t>
      </w:r>
      <w:r w:rsidR="00967508" w:rsidRPr="005825D4">
        <w:rPr>
          <w:bCs/>
        </w:rPr>
        <w:tab/>
        <w:t>The Society’</w:t>
      </w:r>
      <w:r w:rsidR="00CD5368" w:rsidRPr="005825D4">
        <w:rPr>
          <w:bCs/>
        </w:rPr>
        <w:t xml:space="preserve">s membership comprises eminent psychologists who have made valuable contributions in the field of psychology, both nationally and internationally. </w:t>
      </w:r>
      <w:r w:rsidR="009473B3" w:rsidRPr="005825D4">
        <w:rPr>
          <w:bCs/>
        </w:rPr>
        <w:t>It</w:t>
      </w:r>
      <w:r w:rsidR="00967508" w:rsidRPr="005825D4">
        <w:rPr>
          <w:bCs/>
        </w:rPr>
        <w:t xml:space="preserve"> has approximately 2000 members. </w:t>
      </w:r>
      <w:r w:rsidR="006863FF" w:rsidRPr="005825D4">
        <w:rPr>
          <w:bCs/>
        </w:rPr>
        <w:t>At the time that he testifie</w:t>
      </w:r>
      <w:r w:rsidR="00E476D4" w:rsidRPr="005825D4">
        <w:rPr>
          <w:bCs/>
        </w:rPr>
        <w:t>d, P</w:t>
      </w:r>
      <w:r w:rsidR="00AC4095" w:rsidRPr="005825D4">
        <w:rPr>
          <w:bCs/>
        </w:rPr>
        <w:t>rofessor Nel was a practising</w:t>
      </w:r>
      <w:r w:rsidR="006863FF" w:rsidRPr="005825D4">
        <w:rPr>
          <w:bCs/>
        </w:rPr>
        <w:t xml:space="preserve"> clinical psychologist. He </w:t>
      </w:r>
      <w:r w:rsidR="00A84F67" w:rsidRPr="005825D4">
        <w:rPr>
          <w:bCs/>
        </w:rPr>
        <w:t>had been</w:t>
      </w:r>
      <w:r w:rsidR="006863FF" w:rsidRPr="005825D4">
        <w:rPr>
          <w:bCs/>
        </w:rPr>
        <w:t xml:space="preserve"> involved for a considerable period </w:t>
      </w:r>
      <w:r w:rsidR="00AC4095" w:rsidRPr="005825D4">
        <w:rPr>
          <w:bCs/>
        </w:rPr>
        <w:t xml:space="preserve">of </w:t>
      </w:r>
      <w:r w:rsidR="006863FF" w:rsidRPr="005825D4">
        <w:rPr>
          <w:bCs/>
        </w:rPr>
        <w:t xml:space="preserve">time in leading psychological services in the </w:t>
      </w:r>
      <w:r w:rsidR="009473B3" w:rsidRPr="005825D4">
        <w:rPr>
          <w:bCs/>
        </w:rPr>
        <w:t>SAPS</w:t>
      </w:r>
      <w:r w:rsidR="006863FF" w:rsidRPr="005825D4">
        <w:rPr>
          <w:bCs/>
        </w:rPr>
        <w:t xml:space="preserve">. It was </w:t>
      </w:r>
      <w:r w:rsidR="00E476D4" w:rsidRPr="005825D4">
        <w:rPr>
          <w:bCs/>
        </w:rPr>
        <w:t>within the Police Service that P</w:t>
      </w:r>
      <w:r w:rsidR="006863FF" w:rsidRPr="005825D4">
        <w:rPr>
          <w:bCs/>
        </w:rPr>
        <w:t xml:space="preserve">rofessor Nel’s activism around human rights and LGBTI </w:t>
      </w:r>
      <w:r w:rsidR="009473B3" w:rsidRPr="005825D4">
        <w:rPr>
          <w:bCs/>
        </w:rPr>
        <w:t xml:space="preserve">related </w:t>
      </w:r>
      <w:r w:rsidR="006863FF" w:rsidRPr="005825D4">
        <w:rPr>
          <w:bCs/>
        </w:rPr>
        <w:t xml:space="preserve">work started unfolding. He is a gay man </w:t>
      </w:r>
      <w:r w:rsidR="009473B3" w:rsidRPr="005825D4">
        <w:rPr>
          <w:bCs/>
        </w:rPr>
        <w:t>himself, and</w:t>
      </w:r>
      <w:r w:rsidR="006863FF" w:rsidRPr="005825D4">
        <w:rPr>
          <w:bCs/>
        </w:rPr>
        <w:t xml:space="preserve"> testified </w:t>
      </w:r>
      <w:r w:rsidR="009473B3" w:rsidRPr="005825D4">
        <w:rPr>
          <w:bCs/>
        </w:rPr>
        <w:t>also of</w:t>
      </w:r>
      <w:r w:rsidR="006863FF" w:rsidRPr="005825D4">
        <w:rPr>
          <w:bCs/>
        </w:rPr>
        <w:t xml:space="preserve"> his </w:t>
      </w:r>
      <w:r w:rsidR="00A84F67" w:rsidRPr="005825D4">
        <w:rPr>
          <w:bCs/>
        </w:rPr>
        <w:t xml:space="preserve">own </w:t>
      </w:r>
      <w:r w:rsidR="006863FF" w:rsidRPr="005825D4">
        <w:rPr>
          <w:bCs/>
        </w:rPr>
        <w:t xml:space="preserve">experience of exclusion and the discrimination </w:t>
      </w:r>
      <w:r w:rsidR="009473B3" w:rsidRPr="005825D4">
        <w:rPr>
          <w:bCs/>
        </w:rPr>
        <w:t xml:space="preserve">that </w:t>
      </w:r>
      <w:r w:rsidR="006863FF" w:rsidRPr="005825D4">
        <w:rPr>
          <w:bCs/>
        </w:rPr>
        <w:t xml:space="preserve">he faced. </w:t>
      </w:r>
    </w:p>
    <w:p w:rsidR="00F10A27" w:rsidRPr="005825D4" w:rsidRDefault="00F10A27" w:rsidP="00A722C4">
      <w:pPr>
        <w:spacing w:line="360" w:lineRule="auto"/>
        <w:rPr>
          <w:bCs/>
        </w:rPr>
      </w:pPr>
    </w:p>
    <w:p w:rsidR="00F10A27" w:rsidRPr="005825D4" w:rsidRDefault="002F0595" w:rsidP="00A722C4">
      <w:pPr>
        <w:spacing w:line="360" w:lineRule="auto"/>
        <w:rPr>
          <w:bCs/>
        </w:rPr>
      </w:pPr>
      <w:r w:rsidRPr="005825D4">
        <w:rPr>
          <w:bCs/>
        </w:rPr>
        <w:t>[2</w:t>
      </w:r>
      <w:r w:rsidR="00902D51" w:rsidRPr="005825D4">
        <w:rPr>
          <w:bCs/>
        </w:rPr>
        <w:t>4</w:t>
      </w:r>
      <w:r w:rsidR="00F10A27" w:rsidRPr="005825D4">
        <w:rPr>
          <w:bCs/>
        </w:rPr>
        <w:t>]</w:t>
      </w:r>
      <w:r w:rsidR="00F10A27" w:rsidRPr="005825D4">
        <w:rPr>
          <w:bCs/>
        </w:rPr>
        <w:tab/>
        <w:t>Professor Nel was adamant that the</w:t>
      </w:r>
      <w:r w:rsidR="009473B3" w:rsidRPr="005825D4">
        <w:rPr>
          <w:bCs/>
        </w:rPr>
        <w:t xml:space="preserve"> plight of the LGBTI community w</w:t>
      </w:r>
      <w:r w:rsidR="00F10A27" w:rsidRPr="005825D4">
        <w:rPr>
          <w:bCs/>
        </w:rPr>
        <w:t>as to be seen in light of the fact that they constitute sexual and gender minorities and that they are a vulnerable grouping</w:t>
      </w:r>
      <w:r w:rsidR="009473B3" w:rsidRPr="005825D4">
        <w:rPr>
          <w:bCs/>
        </w:rPr>
        <w:t xml:space="preserve"> within our largely</w:t>
      </w:r>
      <w:r w:rsidR="00A71E14" w:rsidRPr="005825D4">
        <w:rPr>
          <w:bCs/>
        </w:rPr>
        <w:t xml:space="preserve"> hetero-normative </w:t>
      </w:r>
      <w:r w:rsidR="00230E55" w:rsidRPr="005825D4">
        <w:rPr>
          <w:bCs/>
        </w:rPr>
        <w:t>society</w:t>
      </w:r>
      <w:r w:rsidR="00A71E14" w:rsidRPr="005825D4">
        <w:rPr>
          <w:bCs/>
        </w:rPr>
        <w:t xml:space="preserve">. </w:t>
      </w:r>
      <w:r w:rsidR="00DB6F8C" w:rsidRPr="005825D4">
        <w:rPr>
          <w:bCs/>
        </w:rPr>
        <w:t xml:space="preserve">The LGBTI community is often considered abnormal and are not only discriminated against, but also victimised. </w:t>
      </w:r>
      <w:r w:rsidR="00A71E14" w:rsidRPr="005825D4">
        <w:rPr>
          <w:bCs/>
        </w:rPr>
        <w:t>He compared the position of the LGBTI community with groupings who face</w:t>
      </w:r>
      <w:r w:rsidR="00230E55" w:rsidRPr="005825D4">
        <w:rPr>
          <w:bCs/>
        </w:rPr>
        <w:t>d</w:t>
      </w:r>
      <w:r w:rsidR="00A71E14" w:rsidRPr="005825D4">
        <w:rPr>
          <w:bCs/>
        </w:rPr>
        <w:t xml:space="preserve"> the brunt of racism and sexism. </w:t>
      </w:r>
    </w:p>
    <w:p w:rsidR="00A71E14" w:rsidRPr="005825D4" w:rsidRDefault="00A71E14" w:rsidP="00A722C4">
      <w:pPr>
        <w:spacing w:line="360" w:lineRule="auto"/>
        <w:rPr>
          <w:bCs/>
        </w:rPr>
      </w:pPr>
    </w:p>
    <w:p w:rsidR="00A71E14" w:rsidRPr="005825D4" w:rsidRDefault="00902D51" w:rsidP="00A722C4">
      <w:pPr>
        <w:spacing w:line="360" w:lineRule="auto"/>
        <w:rPr>
          <w:bCs/>
        </w:rPr>
      </w:pPr>
      <w:r w:rsidRPr="005825D4">
        <w:rPr>
          <w:bCs/>
        </w:rPr>
        <w:lastRenderedPageBreak/>
        <w:t>[25</w:t>
      </w:r>
      <w:r w:rsidR="00E476D4" w:rsidRPr="005825D4">
        <w:rPr>
          <w:bCs/>
        </w:rPr>
        <w:t>]</w:t>
      </w:r>
      <w:r w:rsidR="00E476D4" w:rsidRPr="005825D4">
        <w:rPr>
          <w:bCs/>
        </w:rPr>
        <w:tab/>
        <w:t>In relation to hate crimes, P</w:t>
      </w:r>
      <w:r w:rsidR="00A71E14" w:rsidRPr="005825D4">
        <w:rPr>
          <w:bCs/>
        </w:rPr>
        <w:t>rofessor Nel testified about his involvement</w:t>
      </w:r>
      <w:r w:rsidR="002F0595" w:rsidRPr="005825D4">
        <w:rPr>
          <w:bCs/>
        </w:rPr>
        <w:t xml:space="preserve"> in dealing with the phenomenon</w:t>
      </w:r>
      <w:r w:rsidR="00A71E14" w:rsidRPr="005825D4">
        <w:rPr>
          <w:bCs/>
        </w:rPr>
        <w:t xml:space="preserve">. </w:t>
      </w:r>
      <w:r w:rsidR="0075440A" w:rsidRPr="005825D4">
        <w:rPr>
          <w:bCs/>
        </w:rPr>
        <w:t xml:space="preserve">He described his work with the Crimes Working Group, which is a national </w:t>
      </w:r>
      <w:r w:rsidR="00C01DB5" w:rsidRPr="005825D4">
        <w:rPr>
          <w:bCs/>
        </w:rPr>
        <w:t>network of civil society organis</w:t>
      </w:r>
      <w:r w:rsidR="0075440A" w:rsidRPr="005825D4">
        <w:rPr>
          <w:bCs/>
        </w:rPr>
        <w:t xml:space="preserve">ations </w:t>
      </w:r>
      <w:r w:rsidR="00DB6F8C" w:rsidRPr="005825D4">
        <w:rPr>
          <w:bCs/>
        </w:rPr>
        <w:t>that</w:t>
      </w:r>
      <w:r w:rsidR="0075440A" w:rsidRPr="005825D4">
        <w:rPr>
          <w:bCs/>
        </w:rPr>
        <w:t xml:space="preserve"> endeavour</w:t>
      </w:r>
      <w:r w:rsidR="001D3B52" w:rsidRPr="005825D4">
        <w:rPr>
          <w:bCs/>
        </w:rPr>
        <w:t>s</w:t>
      </w:r>
      <w:r w:rsidR="0075440A" w:rsidRPr="005825D4">
        <w:rPr>
          <w:bCs/>
        </w:rPr>
        <w:t xml:space="preserve"> to address the vulnerability of </w:t>
      </w:r>
      <w:r w:rsidR="00230E55" w:rsidRPr="005825D4">
        <w:rPr>
          <w:bCs/>
        </w:rPr>
        <w:t>a</w:t>
      </w:r>
      <w:r w:rsidR="0075440A" w:rsidRPr="005825D4">
        <w:rPr>
          <w:bCs/>
        </w:rPr>
        <w:t xml:space="preserve"> range of protected grouping</w:t>
      </w:r>
      <w:r w:rsidR="00230E55" w:rsidRPr="005825D4">
        <w:rPr>
          <w:bCs/>
        </w:rPr>
        <w:t>s</w:t>
      </w:r>
      <w:r w:rsidR="00DB6F8C" w:rsidRPr="005825D4">
        <w:rPr>
          <w:bCs/>
        </w:rPr>
        <w:t>,</w:t>
      </w:r>
      <w:r w:rsidR="003228FC" w:rsidRPr="005825D4">
        <w:rPr>
          <w:bCs/>
        </w:rPr>
        <w:t xml:space="preserve"> in accordance with the C</w:t>
      </w:r>
      <w:r w:rsidR="0075440A" w:rsidRPr="005825D4">
        <w:rPr>
          <w:bCs/>
        </w:rPr>
        <w:t xml:space="preserve">onstitution and </w:t>
      </w:r>
      <w:r w:rsidR="00CD7647" w:rsidRPr="005825D4">
        <w:rPr>
          <w:bCs/>
        </w:rPr>
        <w:t xml:space="preserve">within the </w:t>
      </w:r>
      <w:r w:rsidR="009473B3" w:rsidRPr="005825D4">
        <w:rPr>
          <w:bCs/>
        </w:rPr>
        <w:t xml:space="preserve">applicable </w:t>
      </w:r>
      <w:r w:rsidR="0075440A" w:rsidRPr="005825D4">
        <w:rPr>
          <w:bCs/>
        </w:rPr>
        <w:t>legislative framework</w:t>
      </w:r>
      <w:r w:rsidR="00230E55" w:rsidRPr="005825D4">
        <w:rPr>
          <w:bCs/>
        </w:rPr>
        <w:t xml:space="preserve">. </w:t>
      </w:r>
      <w:r w:rsidR="001D3B52" w:rsidRPr="005825D4">
        <w:rPr>
          <w:bCs/>
        </w:rPr>
        <w:t xml:space="preserve">Professor Nel also leads </w:t>
      </w:r>
      <w:r w:rsidR="00230E55" w:rsidRPr="005825D4">
        <w:rPr>
          <w:bCs/>
        </w:rPr>
        <w:t>a</w:t>
      </w:r>
      <w:r w:rsidR="001D3B52" w:rsidRPr="005825D4">
        <w:rPr>
          <w:bCs/>
        </w:rPr>
        <w:t xml:space="preserve"> psychotherapy support group for gay men and has </w:t>
      </w:r>
      <w:r w:rsidR="00DE5E44" w:rsidRPr="005825D4">
        <w:rPr>
          <w:bCs/>
        </w:rPr>
        <w:t>published in that area of work.</w:t>
      </w:r>
    </w:p>
    <w:p w:rsidR="00630457" w:rsidRPr="005825D4" w:rsidRDefault="00630457" w:rsidP="00A722C4">
      <w:pPr>
        <w:spacing w:line="360" w:lineRule="auto"/>
        <w:rPr>
          <w:bCs/>
        </w:rPr>
      </w:pPr>
    </w:p>
    <w:p w:rsidR="00630457" w:rsidRPr="005825D4" w:rsidRDefault="00902D51" w:rsidP="00A722C4">
      <w:pPr>
        <w:spacing w:line="360" w:lineRule="auto"/>
        <w:rPr>
          <w:bCs/>
        </w:rPr>
      </w:pPr>
      <w:r w:rsidRPr="005825D4">
        <w:rPr>
          <w:bCs/>
        </w:rPr>
        <w:t>[26</w:t>
      </w:r>
      <w:r w:rsidR="00630457" w:rsidRPr="005825D4">
        <w:rPr>
          <w:bCs/>
        </w:rPr>
        <w:t>]</w:t>
      </w:r>
      <w:r w:rsidR="00630457" w:rsidRPr="005825D4">
        <w:rPr>
          <w:bCs/>
        </w:rPr>
        <w:tab/>
        <w:t xml:space="preserve">Professor Nel testified that feelings of shame, guilt, internalised conflict and self-suppression </w:t>
      </w:r>
      <w:r w:rsidR="00230E55" w:rsidRPr="005825D4">
        <w:rPr>
          <w:bCs/>
        </w:rPr>
        <w:t xml:space="preserve">within the LGBTI community </w:t>
      </w:r>
      <w:r w:rsidR="00A84F67" w:rsidRPr="005825D4">
        <w:rPr>
          <w:bCs/>
        </w:rPr>
        <w:t>emanate</w:t>
      </w:r>
      <w:r w:rsidR="00630457" w:rsidRPr="005825D4">
        <w:rPr>
          <w:bCs/>
        </w:rPr>
        <w:t xml:space="preserve"> from being on the margins of society and being a minority. The context for the LGBTI community is </w:t>
      </w:r>
      <w:r w:rsidR="009473B3" w:rsidRPr="005825D4">
        <w:rPr>
          <w:bCs/>
        </w:rPr>
        <w:t xml:space="preserve">characterised by </w:t>
      </w:r>
      <w:r w:rsidR="00630457" w:rsidRPr="005825D4">
        <w:rPr>
          <w:bCs/>
        </w:rPr>
        <w:t>fear</w:t>
      </w:r>
      <w:r w:rsidR="009473B3" w:rsidRPr="005825D4">
        <w:rPr>
          <w:bCs/>
        </w:rPr>
        <w:t>s</w:t>
      </w:r>
      <w:r w:rsidR="00630457" w:rsidRPr="005825D4">
        <w:rPr>
          <w:bCs/>
        </w:rPr>
        <w:t xml:space="preserve"> of exclusion, rejection, being shame</w:t>
      </w:r>
      <w:r w:rsidR="00A84F67" w:rsidRPr="005825D4">
        <w:rPr>
          <w:bCs/>
        </w:rPr>
        <w:t>d</w:t>
      </w:r>
      <w:r w:rsidR="00630457" w:rsidRPr="005825D4">
        <w:rPr>
          <w:bCs/>
        </w:rPr>
        <w:t xml:space="preserve"> and being deprived of fundamental rights. It is that psychological trauma to which they are exposed. </w:t>
      </w:r>
    </w:p>
    <w:p w:rsidR="00630457" w:rsidRPr="005825D4" w:rsidRDefault="00630457" w:rsidP="00A722C4">
      <w:pPr>
        <w:spacing w:line="360" w:lineRule="auto"/>
        <w:rPr>
          <w:bCs/>
        </w:rPr>
      </w:pPr>
    </w:p>
    <w:p w:rsidR="00630457" w:rsidRPr="005825D4" w:rsidRDefault="00630457" w:rsidP="00A722C4">
      <w:pPr>
        <w:spacing w:line="360" w:lineRule="auto"/>
        <w:rPr>
          <w:bCs/>
        </w:rPr>
      </w:pPr>
      <w:r w:rsidRPr="005825D4">
        <w:rPr>
          <w:bCs/>
        </w:rPr>
        <w:t>[2</w:t>
      </w:r>
      <w:r w:rsidR="00902D51" w:rsidRPr="005825D4">
        <w:rPr>
          <w:bCs/>
        </w:rPr>
        <w:t>7</w:t>
      </w:r>
      <w:r w:rsidR="00E476D4" w:rsidRPr="005825D4">
        <w:rPr>
          <w:bCs/>
        </w:rPr>
        <w:t>]</w:t>
      </w:r>
      <w:r w:rsidR="00E476D4" w:rsidRPr="005825D4">
        <w:rPr>
          <w:bCs/>
        </w:rPr>
        <w:tab/>
        <w:t>In his evidence, P</w:t>
      </w:r>
      <w:r w:rsidRPr="005825D4">
        <w:rPr>
          <w:bCs/>
        </w:rPr>
        <w:t xml:space="preserve">rofessor Nel </w:t>
      </w:r>
      <w:r w:rsidR="00C56EAD" w:rsidRPr="005825D4">
        <w:rPr>
          <w:bCs/>
        </w:rPr>
        <w:t>described</w:t>
      </w:r>
      <w:r w:rsidRPr="005825D4">
        <w:rPr>
          <w:bCs/>
        </w:rPr>
        <w:t xml:space="preserve"> the fear related to gender non-conformity. He testified that some gender non-conforming people are unable to walk to the shops in the communities where they live. They are </w:t>
      </w:r>
      <w:r w:rsidR="009473B3" w:rsidRPr="005825D4">
        <w:rPr>
          <w:bCs/>
        </w:rPr>
        <w:t>not free</w:t>
      </w:r>
      <w:r w:rsidR="008A0B3D" w:rsidRPr="005825D4">
        <w:rPr>
          <w:bCs/>
        </w:rPr>
        <w:t xml:space="preserve"> to enter </w:t>
      </w:r>
      <w:r w:rsidR="009473B3" w:rsidRPr="005825D4">
        <w:rPr>
          <w:bCs/>
        </w:rPr>
        <w:t xml:space="preserve">public </w:t>
      </w:r>
      <w:r w:rsidR="008A0B3D" w:rsidRPr="005825D4">
        <w:rPr>
          <w:bCs/>
        </w:rPr>
        <w:t xml:space="preserve">spaces after dark or </w:t>
      </w:r>
      <w:r w:rsidR="009473B3" w:rsidRPr="005825D4">
        <w:rPr>
          <w:bCs/>
        </w:rPr>
        <w:t xml:space="preserve">make </w:t>
      </w:r>
      <w:r w:rsidR="008A0B3D" w:rsidRPr="005825D4">
        <w:rPr>
          <w:bCs/>
        </w:rPr>
        <w:t xml:space="preserve">use </w:t>
      </w:r>
      <w:r w:rsidR="009473B3" w:rsidRPr="005825D4">
        <w:rPr>
          <w:bCs/>
        </w:rPr>
        <w:t xml:space="preserve">of </w:t>
      </w:r>
      <w:r w:rsidR="008A0B3D" w:rsidRPr="005825D4">
        <w:rPr>
          <w:bCs/>
        </w:rPr>
        <w:t xml:space="preserve">public transport. People opposed to the LGBTI community are often led to violent </w:t>
      </w:r>
      <w:r w:rsidR="00A84F67" w:rsidRPr="005825D4">
        <w:rPr>
          <w:bCs/>
        </w:rPr>
        <w:t>actions</w:t>
      </w:r>
      <w:r w:rsidR="008A0B3D" w:rsidRPr="005825D4">
        <w:rPr>
          <w:bCs/>
        </w:rPr>
        <w:t xml:space="preserve">. They regularly </w:t>
      </w:r>
      <w:r w:rsidRPr="005825D4">
        <w:rPr>
          <w:bCs/>
        </w:rPr>
        <w:t xml:space="preserve">want to </w:t>
      </w:r>
      <w:r w:rsidR="00230E55" w:rsidRPr="005825D4">
        <w:rPr>
          <w:bCs/>
        </w:rPr>
        <w:t>‘</w:t>
      </w:r>
      <w:r w:rsidRPr="005825D4">
        <w:rPr>
          <w:bCs/>
        </w:rPr>
        <w:t>corre</w:t>
      </w:r>
      <w:r w:rsidR="008A0B3D" w:rsidRPr="005825D4">
        <w:rPr>
          <w:bCs/>
        </w:rPr>
        <w:t>c</w:t>
      </w:r>
      <w:r w:rsidRPr="005825D4">
        <w:rPr>
          <w:bCs/>
        </w:rPr>
        <w:t>t</w:t>
      </w:r>
      <w:r w:rsidR="00230E55" w:rsidRPr="005825D4">
        <w:rPr>
          <w:bCs/>
        </w:rPr>
        <w:t>’</w:t>
      </w:r>
      <w:r w:rsidRPr="005825D4">
        <w:rPr>
          <w:bCs/>
        </w:rPr>
        <w:t xml:space="preserve"> </w:t>
      </w:r>
      <w:r w:rsidR="008A0B3D" w:rsidRPr="005825D4">
        <w:rPr>
          <w:bCs/>
        </w:rPr>
        <w:t>what they consider to be aberrant behaviour. This attitude has an emotional impact and on occasion leads to physical harm being inflicted. Hate speech</w:t>
      </w:r>
      <w:r w:rsidR="00E476D4" w:rsidRPr="005825D4">
        <w:rPr>
          <w:bCs/>
        </w:rPr>
        <w:t>, according to P</w:t>
      </w:r>
      <w:r w:rsidR="00C56EAD" w:rsidRPr="005825D4">
        <w:rPr>
          <w:bCs/>
        </w:rPr>
        <w:t xml:space="preserve">rofessor Nel, </w:t>
      </w:r>
      <w:r w:rsidR="009473B3" w:rsidRPr="005825D4">
        <w:rPr>
          <w:bCs/>
        </w:rPr>
        <w:t xml:space="preserve">is what </w:t>
      </w:r>
      <w:r w:rsidR="008A0B3D" w:rsidRPr="005825D4">
        <w:rPr>
          <w:bCs/>
        </w:rPr>
        <w:t>leads to such behaviour and has a severe impact on members of the LGBTI community</w:t>
      </w:r>
      <w:r w:rsidR="00C56EAD" w:rsidRPr="005825D4">
        <w:rPr>
          <w:bCs/>
        </w:rPr>
        <w:t xml:space="preserve">. </w:t>
      </w:r>
    </w:p>
    <w:p w:rsidR="00C56EAD" w:rsidRPr="005825D4" w:rsidRDefault="00C56EAD" w:rsidP="00A722C4">
      <w:pPr>
        <w:spacing w:line="360" w:lineRule="auto"/>
        <w:rPr>
          <w:bCs/>
        </w:rPr>
      </w:pPr>
    </w:p>
    <w:p w:rsidR="00C56EAD" w:rsidRPr="005825D4" w:rsidRDefault="00902D51" w:rsidP="00A722C4">
      <w:pPr>
        <w:spacing w:line="360" w:lineRule="auto"/>
        <w:rPr>
          <w:bCs/>
        </w:rPr>
      </w:pPr>
      <w:r w:rsidRPr="005825D4">
        <w:rPr>
          <w:bCs/>
        </w:rPr>
        <w:t>[28</w:t>
      </w:r>
      <w:r w:rsidR="00C56EAD" w:rsidRPr="005825D4">
        <w:rPr>
          <w:bCs/>
        </w:rPr>
        <w:t>]</w:t>
      </w:r>
      <w:r w:rsidR="00C56EAD" w:rsidRPr="005825D4">
        <w:rPr>
          <w:bCs/>
        </w:rPr>
        <w:tab/>
        <w:t>Professor Nel testified extensively about the vast body of international literature that reflects on the vulnerability</w:t>
      </w:r>
      <w:r w:rsidR="009473B3" w:rsidRPr="005825D4">
        <w:rPr>
          <w:bCs/>
        </w:rPr>
        <w:t xml:space="preserve"> to depression</w:t>
      </w:r>
      <w:r w:rsidR="00C56EAD" w:rsidRPr="005825D4">
        <w:rPr>
          <w:bCs/>
        </w:rPr>
        <w:t xml:space="preserve"> of lesbian and gay people. This comes about because of the sustained taunting and hate-victimisation </w:t>
      </w:r>
      <w:r w:rsidR="0001333F" w:rsidRPr="005825D4">
        <w:rPr>
          <w:bCs/>
        </w:rPr>
        <w:t xml:space="preserve">that </w:t>
      </w:r>
      <w:r w:rsidR="00C56EAD" w:rsidRPr="005825D4">
        <w:rPr>
          <w:bCs/>
        </w:rPr>
        <w:t>lesbian</w:t>
      </w:r>
      <w:r w:rsidR="0001333F" w:rsidRPr="005825D4">
        <w:rPr>
          <w:bCs/>
        </w:rPr>
        <w:t>s</w:t>
      </w:r>
      <w:r w:rsidR="00C56EAD" w:rsidRPr="005825D4">
        <w:rPr>
          <w:bCs/>
        </w:rPr>
        <w:t xml:space="preserve"> and gays are subjected to</w:t>
      </w:r>
      <w:r w:rsidR="00DB100D" w:rsidRPr="005825D4">
        <w:rPr>
          <w:bCs/>
        </w:rPr>
        <w:t>. They are subjected to</w:t>
      </w:r>
      <w:r w:rsidR="00C56EAD" w:rsidRPr="005825D4">
        <w:rPr>
          <w:bCs/>
        </w:rPr>
        <w:t xml:space="preserve"> verbal and physical abuse. </w:t>
      </w:r>
    </w:p>
    <w:p w:rsidR="00EA7607" w:rsidRPr="005825D4" w:rsidRDefault="00EA7607" w:rsidP="00A722C4">
      <w:pPr>
        <w:spacing w:line="360" w:lineRule="auto"/>
        <w:rPr>
          <w:bCs/>
        </w:rPr>
      </w:pPr>
    </w:p>
    <w:p w:rsidR="003D7A7A" w:rsidRPr="005825D4" w:rsidRDefault="00902D51" w:rsidP="00A722C4">
      <w:pPr>
        <w:spacing w:line="360" w:lineRule="auto"/>
        <w:rPr>
          <w:bCs/>
        </w:rPr>
      </w:pPr>
      <w:r w:rsidRPr="005825D4">
        <w:rPr>
          <w:bCs/>
        </w:rPr>
        <w:t>[29</w:t>
      </w:r>
      <w:r w:rsidR="00EA7607" w:rsidRPr="005825D4">
        <w:rPr>
          <w:bCs/>
        </w:rPr>
        <w:t>]</w:t>
      </w:r>
      <w:r w:rsidR="00EA7607" w:rsidRPr="005825D4">
        <w:rPr>
          <w:bCs/>
        </w:rPr>
        <w:tab/>
        <w:t xml:space="preserve">In his testimony, </w:t>
      </w:r>
      <w:r w:rsidR="00E476D4" w:rsidRPr="005825D4">
        <w:rPr>
          <w:bCs/>
        </w:rPr>
        <w:t>P</w:t>
      </w:r>
      <w:r w:rsidR="00EA7607" w:rsidRPr="005825D4">
        <w:rPr>
          <w:bCs/>
        </w:rPr>
        <w:t xml:space="preserve">rofessor Nel described the pronounced vulnerability of the LGBTI community in townships and informal settlements. According to him, research shows that it is where the </w:t>
      </w:r>
      <w:r w:rsidR="00237455" w:rsidRPr="005825D4">
        <w:rPr>
          <w:bCs/>
        </w:rPr>
        <w:t>highest degree of</w:t>
      </w:r>
      <w:r w:rsidR="00EA7607" w:rsidRPr="005825D4">
        <w:rPr>
          <w:bCs/>
        </w:rPr>
        <w:t xml:space="preserve"> verbal victimisation is experienced. </w:t>
      </w:r>
      <w:r w:rsidR="00BE433A" w:rsidRPr="005825D4">
        <w:rPr>
          <w:bCs/>
        </w:rPr>
        <w:t>He</w:t>
      </w:r>
      <w:r w:rsidR="0001333F" w:rsidRPr="005825D4">
        <w:rPr>
          <w:bCs/>
        </w:rPr>
        <w:t xml:space="preserve"> took the view that </w:t>
      </w:r>
      <w:r w:rsidR="00EA7607" w:rsidRPr="005825D4">
        <w:rPr>
          <w:bCs/>
        </w:rPr>
        <w:t xml:space="preserve">Mr Qwelane’s article </w:t>
      </w:r>
      <w:r w:rsidR="0001333F" w:rsidRPr="005825D4">
        <w:rPr>
          <w:bCs/>
        </w:rPr>
        <w:t>sought to exploit</w:t>
      </w:r>
      <w:r w:rsidR="00EA7607" w:rsidRPr="005825D4">
        <w:rPr>
          <w:bCs/>
        </w:rPr>
        <w:t xml:space="preserve"> that</w:t>
      </w:r>
      <w:r w:rsidR="0001333F" w:rsidRPr="005825D4">
        <w:rPr>
          <w:bCs/>
        </w:rPr>
        <w:t xml:space="preserve"> situation.</w:t>
      </w:r>
      <w:r w:rsidR="008C34C8" w:rsidRPr="005825D4">
        <w:rPr>
          <w:bCs/>
        </w:rPr>
        <w:t xml:space="preserve"> </w:t>
      </w:r>
      <w:r w:rsidR="00E476D4" w:rsidRPr="005825D4">
        <w:rPr>
          <w:bCs/>
        </w:rPr>
        <w:t>Topically, P</w:t>
      </w:r>
      <w:r w:rsidR="003D7A7A" w:rsidRPr="005825D4">
        <w:rPr>
          <w:bCs/>
        </w:rPr>
        <w:t>rofessor Nel compared the vulnerability of the LGBTI community to the vulnerability of foreign national</w:t>
      </w:r>
      <w:r w:rsidR="00237455" w:rsidRPr="005825D4">
        <w:rPr>
          <w:bCs/>
        </w:rPr>
        <w:t>s</w:t>
      </w:r>
      <w:r w:rsidR="003D7A7A" w:rsidRPr="005825D4">
        <w:rPr>
          <w:bCs/>
        </w:rPr>
        <w:t xml:space="preserve"> </w:t>
      </w:r>
      <w:r w:rsidR="003D7A7A" w:rsidRPr="005825D4">
        <w:rPr>
          <w:bCs/>
        </w:rPr>
        <w:lastRenderedPageBreak/>
        <w:t>in a xenophobic atmosphere. Resear</w:t>
      </w:r>
      <w:r w:rsidR="00BE433A" w:rsidRPr="005825D4">
        <w:rPr>
          <w:bCs/>
        </w:rPr>
        <w:t>ch showed a high degree of hate-</w:t>
      </w:r>
      <w:r w:rsidR="003D7A7A" w:rsidRPr="005825D4">
        <w:rPr>
          <w:bCs/>
        </w:rPr>
        <w:t xml:space="preserve">speech victimisation in South Africa. </w:t>
      </w:r>
    </w:p>
    <w:p w:rsidR="005F3DE2" w:rsidRPr="005825D4" w:rsidRDefault="005F3DE2" w:rsidP="00A722C4">
      <w:pPr>
        <w:spacing w:line="360" w:lineRule="auto"/>
        <w:rPr>
          <w:bCs/>
        </w:rPr>
      </w:pPr>
    </w:p>
    <w:p w:rsidR="005F3DE2" w:rsidRPr="005825D4" w:rsidRDefault="00BD7F48" w:rsidP="00A722C4">
      <w:pPr>
        <w:spacing w:line="360" w:lineRule="auto"/>
        <w:rPr>
          <w:bCs/>
        </w:rPr>
      </w:pPr>
      <w:r w:rsidRPr="005825D4">
        <w:rPr>
          <w:bCs/>
        </w:rPr>
        <w:t>[30</w:t>
      </w:r>
      <w:r w:rsidR="005F3DE2" w:rsidRPr="005825D4">
        <w:rPr>
          <w:bCs/>
        </w:rPr>
        <w:t>]</w:t>
      </w:r>
      <w:r w:rsidR="005F3DE2" w:rsidRPr="005825D4">
        <w:rPr>
          <w:bCs/>
        </w:rPr>
        <w:tab/>
        <w:t xml:space="preserve">Professor Nel testified about members of the LGBTI community being subjected to secondary victimisation, for example, when they present complaints at police stations. A high percentage of the LGBTI community </w:t>
      </w:r>
      <w:r w:rsidR="00237455" w:rsidRPr="005825D4">
        <w:rPr>
          <w:bCs/>
        </w:rPr>
        <w:t>took</w:t>
      </w:r>
      <w:r w:rsidR="003F2183" w:rsidRPr="005825D4">
        <w:rPr>
          <w:bCs/>
        </w:rPr>
        <w:t xml:space="preserve"> the view that the criminal justice system </w:t>
      </w:r>
      <w:r w:rsidR="00BE433A" w:rsidRPr="005825D4">
        <w:rPr>
          <w:bCs/>
        </w:rPr>
        <w:t>did not serve them which often resulted</w:t>
      </w:r>
      <w:r w:rsidR="002C198B" w:rsidRPr="005825D4">
        <w:rPr>
          <w:bCs/>
        </w:rPr>
        <w:t xml:space="preserve"> in a failure to r</w:t>
      </w:r>
      <w:r w:rsidR="00E476D4" w:rsidRPr="005825D4">
        <w:rPr>
          <w:bCs/>
        </w:rPr>
        <w:t>eport crimes to the police. In P</w:t>
      </w:r>
      <w:r w:rsidR="002C198B" w:rsidRPr="005825D4">
        <w:rPr>
          <w:bCs/>
        </w:rPr>
        <w:t xml:space="preserve">rofessor Nel’s view, the connection between hate speech and hate crime was undeniable. </w:t>
      </w:r>
      <w:r w:rsidR="00E476D4" w:rsidRPr="005825D4">
        <w:rPr>
          <w:bCs/>
        </w:rPr>
        <w:t xml:space="preserve">In this regard, </w:t>
      </w:r>
      <w:r w:rsidR="00BE433A" w:rsidRPr="005825D4">
        <w:rPr>
          <w:bCs/>
        </w:rPr>
        <w:t>he</w:t>
      </w:r>
      <w:r w:rsidR="003C5FD2" w:rsidRPr="005825D4">
        <w:rPr>
          <w:bCs/>
        </w:rPr>
        <w:t xml:space="preserve"> referred to Nazi Germany a</w:t>
      </w:r>
      <w:r w:rsidR="00E476D4" w:rsidRPr="005825D4">
        <w:rPr>
          <w:bCs/>
        </w:rPr>
        <w:t>nd ethnic strife in Rwanda. In P</w:t>
      </w:r>
      <w:r w:rsidR="003C5FD2" w:rsidRPr="005825D4">
        <w:rPr>
          <w:bCs/>
        </w:rPr>
        <w:t xml:space="preserve">rofessor Nel’s view, words matter. </w:t>
      </w:r>
      <w:r w:rsidR="00132F1D" w:rsidRPr="005825D4">
        <w:rPr>
          <w:bCs/>
        </w:rPr>
        <w:t>An u</w:t>
      </w:r>
      <w:r w:rsidR="00FF3478" w:rsidRPr="005825D4">
        <w:rPr>
          <w:bCs/>
        </w:rPr>
        <w:t>tterance</w:t>
      </w:r>
      <w:r w:rsidR="003C5FD2" w:rsidRPr="005825D4">
        <w:rPr>
          <w:bCs/>
        </w:rPr>
        <w:t xml:space="preserve"> such as ‘we will show you that you are a woman’ </w:t>
      </w:r>
      <w:r w:rsidR="00132F1D" w:rsidRPr="005825D4">
        <w:rPr>
          <w:bCs/>
        </w:rPr>
        <w:t>is</w:t>
      </w:r>
      <w:r w:rsidR="003C5FD2" w:rsidRPr="005825D4">
        <w:rPr>
          <w:bCs/>
        </w:rPr>
        <w:t xml:space="preserve"> an example of verbal victimisation which later translate</w:t>
      </w:r>
      <w:r w:rsidR="002F0595" w:rsidRPr="005825D4">
        <w:rPr>
          <w:bCs/>
        </w:rPr>
        <w:t>d</w:t>
      </w:r>
      <w:r w:rsidR="00237455" w:rsidRPr="005825D4">
        <w:rPr>
          <w:bCs/>
        </w:rPr>
        <w:t xml:space="preserve"> into physical assaults</w:t>
      </w:r>
      <w:r w:rsidR="003C5FD2" w:rsidRPr="005825D4">
        <w:rPr>
          <w:bCs/>
        </w:rPr>
        <w:t xml:space="preserve">. </w:t>
      </w:r>
    </w:p>
    <w:p w:rsidR="003C5FD2" w:rsidRPr="005825D4" w:rsidRDefault="003C5FD2" w:rsidP="00A722C4">
      <w:pPr>
        <w:spacing w:line="360" w:lineRule="auto"/>
        <w:rPr>
          <w:bCs/>
        </w:rPr>
      </w:pPr>
    </w:p>
    <w:p w:rsidR="003C5FD2" w:rsidRPr="005825D4" w:rsidRDefault="00BD7F48" w:rsidP="00A722C4">
      <w:pPr>
        <w:spacing w:line="360" w:lineRule="auto"/>
        <w:rPr>
          <w:bCs/>
        </w:rPr>
      </w:pPr>
      <w:r w:rsidRPr="005825D4">
        <w:rPr>
          <w:bCs/>
        </w:rPr>
        <w:t>[31</w:t>
      </w:r>
      <w:r w:rsidR="003C5FD2" w:rsidRPr="005825D4">
        <w:rPr>
          <w:bCs/>
        </w:rPr>
        <w:t>]</w:t>
      </w:r>
      <w:r w:rsidR="003C5FD2" w:rsidRPr="005825D4">
        <w:rPr>
          <w:bCs/>
        </w:rPr>
        <w:tab/>
        <w:t>Turning to deal specifica</w:t>
      </w:r>
      <w:r w:rsidR="00E476D4" w:rsidRPr="005825D4">
        <w:rPr>
          <w:bCs/>
        </w:rPr>
        <w:t>lly with Mr Qwelane’s article, P</w:t>
      </w:r>
      <w:r w:rsidR="003C5FD2" w:rsidRPr="005825D4">
        <w:rPr>
          <w:bCs/>
        </w:rPr>
        <w:t xml:space="preserve">rofessor Nel stated that it </w:t>
      </w:r>
      <w:r w:rsidR="00237455" w:rsidRPr="005825D4">
        <w:rPr>
          <w:bCs/>
        </w:rPr>
        <w:t xml:space="preserve">had </w:t>
      </w:r>
      <w:r w:rsidR="003C5FD2" w:rsidRPr="005825D4">
        <w:rPr>
          <w:bCs/>
        </w:rPr>
        <w:t xml:space="preserve">created shock waves </w:t>
      </w:r>
      <w:r w:rsidR="00237455" w:rsidRPr="005825D4">
        <w:rPr>
          <w:bCs/>
        </w:rPr>
        <w:t>within</w:t>
      </w:r>
      <w:r w:rsidR="003C5FD2" w:rsidRPr="005825D4">
        <w:rPr>
          <w:bCs/>
        </w:rPr>
        <w:t xml:space="preserve"> the LGBTI community and was met with great indignation</w:t>
      </w:r>
      <w:r w:rsidR="00237455" w:rsidRPr="005825D4">
        <w:rPr>
          <w:bCs/>
        </w:rPr>
        <w:t>.</w:t>
      </w:r>
      <w:r w:rsidR="003C5FD2" w:rsidRPr="005825D4">
        <w:rPr>
          <w:bCs/>
        </w:rPr>
        <w:t xml:space="preserve"> </w:t>
      </w:r>
      <w:r w:rsidR="00237455" w:rsidRPr="005825D4">
        <w:rPr>
          <w:bCs/>
        </w:rPr>
        <w:t>C</w:t>
      </w:r>
      <w:r w:rsidR="003C5FD2" w:rsidRPr="005825D4">
        <w:rPr>
          <w:bCs/>
        </w:rPr>
        <w:t xml:space="preserve">omplaints were speedily laid with the press ombudsman, the </w:t>
      </w:r>
      <w:r w:rsidR="002F0595" w:rsidRPr="005825D4">
        <w:rPr>
          <w:bCs/>
        </w:rPr>
        <w:t>HRC</w:t>
      </w:r>
      <w:r w:rsidR="003C5FD2" w:rsidRPr="005825D4">
        <w:rPr>
          <w:bCs/>
        </w:rPr>
        <w:t xml:space="preserve"> and the Commission for Gender Equality. In his view, the greatest impact </w:t>
      </w:r>
      <w:r w:rsidR="00237455" w:rsidRPr="005825D4">
        <w:rPr>
          <w:bCs/>
        </w:rPr>
        <w:t xml:space="preserve">of the article </w:t>
      </w:r>
      <w:r w:rsidR="003C5FD2" w:rsidRPr="005825D4">
        <w:rPr>
          <w:bCs/>
        </w:rPr>
        <w:t xml:space="preserve">was on the human dignity of members of the community. </w:t>
      </w:r>
      <w:r w:rsidR="005501B7" w:rsidRPr="005825D4">
        <w:rPr>
          <w:bCs/>
        </w:rPr>
        <w:t>In relation to the reference to f</w:t>
      </w:r>
      <w:r w:rsidR="00E476D4" w:rsidRPr="005825D4">
        <w:rPr>
          <w:bCs/>
        </w:rPr>
        <w:t>ormer</w:t>
      </w:r>
      <w:r w:rsidR="00E12729" w:rsidRPr="005825D4">
        <w:rPr>
          <w:bCs/>
        </w:rPr>
        <w:t xml:space="preserve"> Zimbabwean P</w:t>
      </w:r>
      <w:r w:rsidR="00E476D4" w:rsidRPr="005825D4">
        <w:rPr>
          <w:bCs/>
        </w:rPr>
        <w:t>resident</w:t>
      </w:r>
      <w:r w:rsidR="00E12729" w:rsidRPr="005825D4">
        <w:rPr>
          <w:bCs/>
        </w:rPr>
        <w:t>,</w:t>
      </w:r>
      <w:r w:rsidR="00E476D4" w:rsidRPr="005825D4">
        <w:rPr>
          <w:bCs/>
        </w:rPr>
        <w:t xml:space="preserve"> Robert Mugabe, P</w:t>
      </w:r>
      <w:r w:rsidR="005501B7" w:rsidRPr="005825D4">
        <w:rPr>
          <w:bCs/>
        </w:rPr>
        <w:t>rofessor Nel emphasised that i</w:t>
      </w:r>
      <w:r w:rsidR="00E12729" w:rsidRPr="005825D4">
        <w:rPr>
          <w:bCs/>
        </w:rPr>
        <w:t>t should be borne in mind that P</w:t>
      </w:r>
      <w:r w:rsidR="005501B7" w:rsidRPr="005825D4">
        <w:rPr>
          <w:bCs/>
        </w:rPr>
        <w:t xml:space="preserve">resident Mugabe had referred to homosexuals as being lower than pigs and dogs and that this statement had been made a few months before Mr Qwelane’s article was published. </w:t>
      </w:r>
      <w:r w:rsidR="00E12729" w:rsidRPr="005825D4">
        <w:rPr>
          <w:bCs/>
        </w:rPr>
        <w:t>It was degrading and de</w:t>
      </w:r>
      <w:r w:rsidR="004C378B" w:rsidRPr="005825D4">
        <w:rPr>
          <w:bCs/>
        </w:rPr>
        <w:t xml:space="preserve">humanising. </w:t>
      </w:r>
    </w:p>
    <w:p w:rsidR="009F5065" w:rsidRPr="005825D4" w:rsidRDefault="009F5065" w:rsidP="00A722C4">
      <w:pPr>
        <w:spacing w:line="360" w:lineRule="auto"/>
        <w:rPr>
          <w:bCs/>
        </w:rPr>
      </w:pPr>
    </w:p>
    <w:p w:rsidR="00B62E96" w:rsidRPr="005825D4" w:rsidRDefault="00BD7F48" w:rsidP="00A722C4">
      <w:pPr>
        <w:spacing w:line="360" w:lineRule="auto"/>
        <w:rPr>
          <w:bCs/>
        </w:rPr>
      </w:pPr>
      <w:r w:rsidRPr="005825D4">
        <w:rPr>
          <w:bCs/>
        </w:rPr>
        <w:t>[32</w:t>
      </w:r>
      <w:r w:rsidR="005C5604" w:rsidRPr="005825D4">
        <w:rPr>
          <w:bCs/>
        </w:rPr>
        <w:t>]</w:t>
      </w:r>
      <w:r w:rsidR="005C5604" w:rsidRPr="005825D4">
        <w:rPr>
          <w:bCs/>
        </w:rPr>
        <w:tab/>
        <w:t xml:space="preserve">Significantly, </w:t>
      </w:r>
      <w:r w:rsidR="00E476D4" w:rsidRPr="005825D4">
        <w:rPr>
          <w:bCs/>
        </w:rPr>
        <w:t>P</w:t>
      </w:r>
      <w:r w:rsidR="009F5065" w:rsidRPr="005825D4">
        <w:rPr>
          <w:bCs/>
        </w:rPr>
        <w:t xml:space="preserve">rofessor Nel </w:t>
      </w:r>
      <w:r w:rsidR="005C5604" w:rsidRPr="005825D4">
        <w:rPr>
          <w:bCs/>
        </w:rPr>
        <w:t>said that the teachings of church</w:t>
      </w:r>
      <w:r w:rsidR="00A41D45" w:rsidRPr="005825D4">
        <w:rPr>
          <w:bCs/>
        </w:rPr>
        <w:t>es</w:t>
      </w:r>
      <w:r w:rsidR="005C5604" w:rsidRPr="005825D4">
        <w:rPr>
          <w:bCs/>
        </w:rPr>
        <w:t xml:space="preserve"> </w:t>
      </w:r>
      <w:r w:rsidR="00A1044D" w:rsidRPr="005825D4">
        <w:rPr>
          <w:bCs/>
        </w:rPr>
        <w:t>were</w:t>
      </w:r>
      <w:r w:rsidR="005C5604" w:rsidRPr="005825D4">
        <w:rPr>
          <w:bCs/>
        </w:rPr>
        <w:t xml:space="preserve"> hurtful, particularly when</w:t>
      </w:r>
      <w:r w:rsidR="00A41D45" w:rsidRPr="005825D4">
        <w:rPr>
          <w:bCs/>
        </w:rPr>
        <w:t xml:space="preserve"> they</w:t>
      </w:r>
      <w:r w:rsidR="005C5604" w:rsidRPr="005825D4">
        <w:rPr>
          <w:bCs/>
        </w:rPr>
        <w:t xml:space="preserve"> tied in with the hurtful stereotype that same-sex orientation equated with bestiality. </w:t>
      </w:r>
      <w:r w:rsidR="00237455" w:rsidRPr="005825D4">
        <w:rPr>
          <w:bCs/>
        </w:rPr>
        <w:t>The s</w:t>
      </w:r>
      <w:r w:rsidR="00752498" w:rsidRPr="005825D4">
        <w:rPr>
          <w:bCs/>
        </w:rPr>
        <w:t xml:space="preserve">infulness of same-sex relationships </w:t>
      </w:r>
      <w:r w:rsidR="00A41D45" w:rsidRPr="005825D4">
        <w:rPr>
          <w:bCs/>
        </w:rPr>
        <w:t>was</w:t>
      </w:r>
      <w:r w:rsidR="00752498" w:rsidRPr="005825D4">
        <w:rPr>
          <w:bCs/>
        </w:rPr>
        <w:t xml:space="preserve"> repeatedly referred to. The threat of undoing of constitutional protection for vulnerable groups was directed at the LGBTI community</w:t>
      </w:r>
      <w:r w:rsidR="00237455" w:rsidRPr="005825D4">
        <w:rPr>
          <w:bCs/>
        </w:rPr>
        <w:t>,</w:t>
      </w:r>
      <w:r w:rsidR="00752498" w:rsidRPr="005825D4">
        <w:rPr>
          <w:bCs/>
        </w:rPr>
        <w:t xml:space="preserve"> which affected their psyche. </w:t>
      </w:r>
      <w:r w:rsidR="00396232" w:rsidRPr="005825D4">
        <w:rPr>
          <w:bCs/>
        </w:rPr>
        <w:t xml:space="preserve">The article, even without the cartoon, was offensive. </w:t>
      </w:r>
      <w:r w:rsidR="00AA62DA" w:rsidRPr="005825D4">
        <w:rPr>
          <w:bCs/>
        </w:rPr>
        <w:t>The statements in the article</w:t>
      </w:r>
      <w:r w:rsidR="00E476D4" w:rsidRPr="005825D4">
        <w:rPr>
          <w:bCs/>
        </w:rPr>
        <w:t>, so P</w:t>
      </w:r>
      <w:r w:rsidR="00237455" w:rsidRPr="005825D4">
        <w:rPr>
          <w:bCs/>
        </w:rPr>
        <w:t>rofessor Nel said,</w:t>
      </w:r>
      <w:r w:rsidR="00AA62DA" w:rsidRPr="005825D4">
        <w:rPr>
          <w:bCs/>
        </w:rPr>
        <w:t xml:space="preserve"> have to be seen against Mr Qwelane’s status as a celebrity with struggle credentials. </w:t>
      </w:r>
      <w:r w:rsidR="005B7892" w:rsidRPr="005825D4">
        <w:rPr>
          <w:bCs/>
        </w:rPr>
        <w:t xml:space="preserve">In his view, what </w:t>
      </w:r>
      <w:r w:rsidR="00237455" w:rsidRPr="005825D4">
        <w:rPr>
          <w:bCs/>
        </w:rPr>
        <w:t>one could</w:t>
      </w:r>
      <w:r w:rsidR="005B7892" w:rsidRPr="005825D4">
        <w:rPr>
          <w:bCs/>
        </w:rPr>
        <w:t xml:space="preserve"> take from the article is that homosexuality is wrong and sinful and</w:t>
      </w:r>
      <w:r w:rsidR="00BE433A" w:rsidRPr="005825D4">
        <w:rPr>
          <w:bCs/>
        </w:rPr>
        <w:t xml:space="preserve"> that</w:t>
      </w:r>
      <w:r w:rsidR="005B7892" w:rsidRPr="005825D4">
        <w:rPr>
          <w:bCs/>
        </w:rPr>
        <w:t xml:space="preserve"> it justifies victimisation, whether in speech or in action. </w:t>
      </w:r>
      <w:r w:rsidR="00E476D4" w:rsidRPr="005825D4">
        <w:rPr>
          <w:bCs/>
        </w:rPr>
        <w:t>In P</w:t>
      </w:r>
      <w:r w:rsidR="00A448AA" w:rsidRPr="005825D4">
        <w:rPr>
          <w:bCs/>
        </w:rPr>
        <w:t>rofessor Nel’s view, the outrage that the</w:t>
      </w:r>
      <w:r w:rsidR="00C708D3" w:rsidRPr="005825D4">
        <w:rPr>
          <w:bCs/>
        </w:rPr>
        <w:t xml:space="preserve"> </w:t>
      </w:r>
      <w:r w:rsidR="00C708D3" w:rsidRPr="005825D4">
        <w:rPr>
          <w:bCs/>
        </w:rPr>
        <w:lastRenderedPageBreak/>
        <w:t>article caused is in itself an</w:t>
      </w:r>
      <w:r w:rsidR="00A448AA" w:rsidRPr="005825D4">
        <w:rPr>
          <w:bCs/>
        </w:rPr>
        <w:t xml:space="preserve"> indication of the hurt and harm caused to the LGBTI community. </w:t>
      </w:r>
      <w:r w:rsidR="00A41D45" w:rsidRPr="005825D4">
        <w:rPr>
          <w:bCs/>
        </w:rPr>
        <w:t xml:space="preserve">Mr Qwelane was someone with stature who contrived </w:t>
      </w:r>
      <w:r w:rsidR="00444240" w:rsidRPr="005825D4">
        <w:rPr>
          <w:bCs/>
        </w:rPr>
        <w:t>a call to conscience</w:t>
      </w:r>
      <w:r w:rsidR="00237455" w:rsidRPr="005825D4">
        <w:rPr>
          <w:bCs/>
        </w:rPr>
        <w:t>,</w:t>
      </w:r>
      <w:r w:rsidR="00444240" w:rsidRPr="005825D4">
        <w:rPr>
          <w:bCs/>
        </w:rPr>
        <w:t xml:space="preserve"> seeking others to follow his convictions. </w:t>
      </w:r>
      <w:r w:rsidR="00B62E96" w:rsidRPr="005825D4">
        <w:rPr>
          <w:bCs/>
        </w:rPr>
        <w:t>In relation</w:t>
      </w:r>
      <w:r w:rsidR="00E476D4" w:rsidRPr="005825D4">
        <w:rPr>
          <w:bCs/>
        </w:rPr>
        <w:t xml:space="preserve"> to an apology being demanded, P</w:t>
      </w:r>
      <w:r w:rsidR="00B62E96" w:rsidRPr="005825D4">
        <w:rPr>
          <w:bCs/>
        </w:rPr>
        <w:t xml:space="preserve">rofessor Nel was emphatic that the value of an apology </w:t>
      </w:r>
      <w:r w:rsidR="00237455" w:rsidRPr="005825D4">
        <w:rPr>
          <w:bCs/>
        </w:rPr>
        <w:t>should</w:t>
      </w:r>
      <w:r w:rsidR="00B62E96" w:rsidRPr="005825D4">
        <w:rPr>
          <w:bCs/>
        </w:rPr>
        <w:t xml:space="preserve"> never be underestimated. It le</w:t>
      </w:r>
      <w:r w:rsidR="00BE433A" w:rsidRPr="005825D4">
        <w:rPr>
          <w:bCs/>
        </w:rPr>
        <w:t>d</w:t>
      </w:r>
      <w:r w:rsidR="00B62E96" w:rsidRPr="005825D4">
        <w:rPr>
          <w:bCs/>
        </w:rPr>
        <w:t xml:space="preserve"> to healing. </w:t>
      </w:r>
    </w:p>
    <w:p w:rsidR="00280BF3" w:rsidRPr="005825D4" w:rsidRDefault="00280BF3" w:rsidP="00A722C4">
      <w:pPr>
        <w:spacing w:line="360" w:lineRule="auto"/>
        <w:rPr>
          <w:bCs/>
        </w:rPr>
      </w:pPr>
    </w:p>
    <w:p w:rsidR="002F0595" w:rsidRPr="005825D4" w:rsidRDefault="00BD7F48" w:rsidP="00A722C4">
      <w:pPr>
        <w:spacing w:line="360" w:lineRule="auto"/>
        <w:rPr>
          <w:bCs/>
        </w:rPr>
      </w:pPr>
      <w:r w:rsidRPr="005825D4">
        <w:rPr>
          <w:bCs/>
        </w:rPr>
        <w:t>[33</w:t>
      </w:r>
      <w:r w:rsidR="00280BF3" w:rsidRPr="005825D4">
        <w:rPr>
          <w:bCs/>
        </w:rPr>
        <w:t>]</w:t>
      </w:r>
      <w:r w:rsidR="00280BF3" w:rsidRPr="005825D4">
        <w:rPr>
          <w:bCs/>
        </w:rPr>
        <w:tab/>
        <w:t xml:space="preserve">What is set out above is the essence of the evidence adduced in the court below and it is against that evidence that the </w:t>
      </w:r>
      <w:r w:rsidR="002F0595" w:rsidRPr="005825D4">
        <w:rPr>
          <w:bCs/>
        </w:rPr>
        <w:t>complaint by the HRC</w:t>
      </w:r>
      <w:r w:rsidR="00280BF3" w:rsidRPr="005825D4">
        <w:rPr>
          <w:bCs/>
        </w:rPr>
        <w:t xml:space="preserve"> was adjudicated.</w:t>
      </w:r>
      <w:r w:rsidR="00DB6F8C" w:rsidRPr="005825D4">
        <w:rPr>
          <w:bCs/>
        </w:rPr>
        <w:t xml:space="preserve"> No evidence was presented to show a link between the article and any subsequent </w:t>
      </w:r>
      <w:r w:rsidR="00FC1A08" w:rsidRPr="005825D4">
        <w:rPr>
          <w:bCs/>
        </w:rPr>
        <w:t xml:space="preserve">physical or verbal </w:t>
      </w:r>
      <w:r w:rsidR="00DB6F8C" w:rsidRPr="005825D4">
        <w:rPr>
          <w:bCs/>
        </w:rPr>
        <w:t xml:space="preserve">attacks on </w:t>
      </w:r>
      <w:r w:rsidR="009B146A" w:rsidRPr="005825D4">
        <w:rPr>
          <w:bCs/>
        </w:rPr>
        <w:t xml:space="preserve">members of </w:t>
      </w:r>
      <w:r w:rsidR="00DB6F8C" w:rsidRPr="005825D4">
        <w:rPr>
          <w:bCs/>
        </w:rPr>
        <w:t>the LGBTI community.</w:t>
      </w:r>
      <w:r w:rsidR="00280BF3" w:rsidRPr="005825D4">
        <w:rPr>
          <w:bCs/>
        </w:rPr>
        <w:t xml:space="preserve"> </w:t>
      </w:r>
      <w:r w:rsidR="008175F4" w:rsidRPr="005825D4">
        <w:rPr>
          <w:bCs/>
        </w:rPr>
        <w:t>Moshidi J</w:t>
      </w:r>
      <w:r w:rsidR="005D57F4" w:rsidRPr="005825D4">
        <w:rPr>
          <w:bCs/>
        </w:rPr>
        <w:t xml:space="preserve"> upheld the </w:t>
      </w:r>
      <w:r w:rsidR="00FB293F" w:rsidRPr="005825D4">
        <w:rPr>
          <w:bCs/>
        </w:rPr>
        <w:t>complaint against Mr Qwelane. The court</w:t>
      </w:r>
      <w:r w:rsidR="005D57F4" w:rsidRPr="005825D4">
        <w:rPr>
          <w:bCs/>
        </w:rPr>
        <w:t xml:space="preserve"> declared that the offending statements against homosexuals </w:t>
      </w:r>
      <w:r w:rsidR="008175F4" w:rsidRPr="005825D4">
        <w:rPr>
          <w:bCs/>
        </w:rPr>
        <w:t>were</w:t>
      </w:r>
      <w:r w:rsidR="005D57F4" w:rsidRPr="005825D4">
        <w:rPr>
          <w:bCs/>
        </w:rPr>
        <w:t xml:space="preserve"> hurtful, incite</w:t>
      </w:r>
      <w:r w:rsidR="00A41D45" w:rsidRPr="005825D4">
        <w:rPr>
          <w:bCs/>
        </w:rPr>
        <w:t>d</w:t>
      </w:r>
      <w:r w:rsidR="005D57F4" w:rsidRPr="005825D4">
        <w:rPr>
          <w:bCs/>
        </w:rPr>
        <w:t xml:space="preserve"> harm and propagate</w:t>
      </w:r>
      <w:r w:rsidR="00A41D45" w:rsidRPr="005825D4">
        <w:rPr>
          <w:bCs/>
        </w:rPr>
        <w:t>d</w:t>
      </w:r>
      <w:r w:rsidR="005D57F4" w:rsidRPr="005825D4">
        <w:rPr>
          <w:bCs/>
        </w:rPr>
        <w:t xml:space="preserve"> hatred; and </w:t>
      </w:r>
      <w:r w:rsidR="00BE433A" w:rsidRPr="005825D4">
        <w:rPr>
          <w:bCs/>
        </w:rPr>
        <w:t xml:space="preserve">that they thus </w:t>
      </w:r>
      <w:r w:rsidR="005D57F4" w:rsidRPr="005825D4">
        <w:rPr>
          <w:bCs/>
        </w:rPr>
        <w:t>amount</w:t>
      </w:r>
      <w:r w:rsidR="002F0595" w:rsidRPr="005825D4">
        <w:rPr>
          <w:bCs/>
        </w:rPr>
        <w:t>ed</w:t>
      </w:r>
      <w:r w:rsidR="005D57F4" w:rsidRPr="005825D4">
        <w:rPr>
          <w:bCs/>
        </w:rPr>
        <w:t xml:space="preserve"> to hate speech</w:t>
      </w:r>
      <w:r w:rsidR="002F0595" w:rsidRPr="005825D4">
        <w:rPr>
          <w:bCs/>
        </w:rPr>
        <w:t>,</w:t>
      </w:r>
      <w:r w:rsidR="00B978A4" w:rsidRPr="005825D4">
        <w:rPr>
          <w:bCs/>
        </w:rPr>
        <w:t xml:space="preserve"> as envisaged in s </w:t>
      </w:r>
      <w:r w:rsidR="005D57F4" w:rsidRPr="005825D4">
        <w:rPr>
          <w:bCs/>
        </w:rPr>
        <w:t>10</w:t>
      </w:r>
      <w:r w:rsidR="008C34C8" w:rsidRPr="005825D4">
        <w:rPr>
          <w:bCs/>
        </w:rPr>
        <w:t>(1)</w:t>
      </w:r>
      <w:r w:rsidR="005D57F4" w:rsidRPr="005825D4">
        <w:rPr>
          <w:bCs/>
        </w:rPr>
        <w:t xml:space="preserve"> of PEPUDA.</w:t>
      </w:r>
      <w:r w:rsidR="00FB293F" w:rsidRPr="005825D4">
        <w:rPr>
          <w:bCs/>
        </w:rPr>
        <w:t xml:space="preserve"> </w:t>
      </w:r>
    </w:p>
    <w:p w:rsidR="002F0595" w:rsidRPr="005825D4" w:rsidRDefault="002F0595" w:rsidP="00A722C4">
      <w:pPr>
        <w:spacing w:line="360" w:lineRule="auto"/>
        <w:rPr>
          <w:bCs/>
        </w:rPr>
      </w:pPr>
    </w:p>
    <w:p w:rsidR="00FB293F" w:rsidRPr="005825D4" w:rsidRDefault="00BD7F48" w:rsidP="00A722C4">
      <w:pPr>
        <w:spacing w:line="360" w:lineRule="auto"/>
        <w:rPr>
          <w:bCs/>
        </w:rPr>
      </w:pPr>
      <w:r w:rsidRPr="005825D4">
        <w:rPr>
          <w:bCs/>
        </w:rPr>
        <w:t>[34</w:t>
      </w:r>
      <w:r w:rsidR="002F0595" w:rsidRPr="005825D4">
        <w:rPr>
          <w:bCs/>
        </w:rPr>
        <w:t>]</w:t>
      </w:r>
      <w:r w:rsidR="002F0595" w:rsidRPr="005825D4">
        <w:rPr>
          <w:bCs/>
        </w:rPr>
        <w:tab/>
      </w:r>
      <w:r w:rsidR="00FB293F" w:rsidRPr="005825D4">
        <w:rPr>
          <w:bCs/>
        </w:rPr>
        <w:t>Moshidi J dismissed Mr Qwelane’s application to have</w:t>
      </w:r>
      <w:r w:rsidR="006E34FE" w:rsidRPr="005825D4">
        <w:rPr>
          <w:bCs/>
        </w:rPr>
        <w:t xml:space="preserve"> the</w:t>
      </w:r>
      <w:r w:rsidR="00FB293F" w:rsidRPr="005825D4">
        <w:rPr>
          <w:bCs/>
        </w:rPr>
        <w:t xml:space="preserve"> impugned sections of PEPUDA declared </w:t>
      </w:r>
      <w:r w:rsidR="00D8701D" w:rsidRPr="005825D4">
        <w:rPr>
          <w:bCs/>
        </w:rPr>
        <w:t>unconstitutional.</w:t>
      </w:r>
      <w:r w:rsidR="00A1044D" w:rsidRPr="005825D4">
        <w:rPr>
          <w:bCs/>
        </w:rPr>
        <w:t xml:space="preserve"> He rejected the contention on behalf of Mr Qwelane that the provision</w:t>
      </w:r>
      <w:r w:rsidR="00B978A4" w:rsidRPr="005825D4">
        <w:rPr>
          <w:bCs/>
        </w:rPr>
        <w:t>s of s </w:t>
      </w:r>
      <w:r w:rsidR="00A1044D" w:rsidRPr="005825D4">
        <w:rPr>
          <w:bCs/>
        </w:rPr>
        <w:t>10</w:t>
      </w:r>
      <w:r w:rsidR="009E4E4D" w:rsidRPr="005825D4">
        <w:rPr>
          <w:bCs/>
        </w:rPr>
        <w:t>(1)</w:t>
      </w:r>
      <w:r w:rsidR="00A1044D" w:rsidRPr="005825D4">
        <w:rPr>
          <w:bCs/>
        </w:rPr>
        <w:t xml:space="preserve"> of PEPUDA were vague. </w:t>
      </w:r>
      <w:r w:rsidR="00BE433A" w:rsidRPr="005825D4">
        <w:rPr>
          <w:bCs/>
        </w:rPr>
        <w:t>Having</w:t>
      </w:r>
      <w:r w:rsidR="00A1044D" w:rsidRPr="005825D4">
        <w:rPr>
          <w:bCs/>
        </w:rPr>
        <w:t xml:space="preserve"> r</w:t>
      </w:r>
      <w:r w:rsidR="00B978A4" w:rsidRPr="005825D4">
        <w:rPr>
          <w:bCs/>
        </w:rPr>
        <w:t>egard to the ‘first words’ of s </w:t>
      </w:r>
      <w:r w:rsidR="00A1044D" w:rsidRPr="005825D4">
        <w:rPr>
          <w:bCs/>
        </w:rPr>
        <w:t>10(1)</w:t>
      </w:r>
      <w:r w:rsidR="00BE433A" w:rsidRPr="005825D4">
        <w:rPr>
          <w:bCs/>
        </w:rPr>
        <w:t xml:space="preserve">, it was </w:t>
      </w:r>
      <w:r w:rsidR="00A1044D" w:rsidRPr="005825D4">
        <w:rPr>
          <w:bCs/>
        </w:rPr>
        <w:t xml:space="preserve">said </w:t>
      </w:r>
      <w:r w:rsidR="00BE433A" w:rsidRPr="005825D4">
        <w:rPr>
          <w:bCs/>
        </w:rPr>
        <w:t xml:space="preserve">that </w:t>
      </w:r>
      <w:r w:rsidR="00A1044D" w:rsidRPr="005825D4">
        <w:rPr>
          <w:bCs/>
        </w:rPr>
        <w:t xml:space="preserve">they </w:t>
      </w:r>
      <w:r w:rsidR="00487EBA" w:rsidRPr="005825D4">
        <w:rPr>
          <w:bCs/>
        </w:rPr>
        <w:t>could be</w:t>
      </w:r>
      <w:r w:rsidR="00A1044D" w:rsidRPr="005825D4">
        <w:rPr>
          <w:bCs/>
        </w:rPr>
        <w:t xml:space="preserve"> clear</w:t>
      </w:r>
      <w:r w:rsidR="00487EBA" w:rsidRPr="005825D4">
        <w:rPr>
          <w:bCs/>
        </w:rPr>
        <w:t>ly understood</w:t>
      </w:r>
      <w:r w:rsidR="00A1044D" w:rsidRPr="005825D4">
        <w:rPr>
          <w:bCs/>
        </w:rPr>
        <w:t xml:space="preserve"> </w:t>
      </w:r>
      <w:r w:rsidR="0087245B" w:rsidRPr="005825D4">
        <w:rPr>
          <w:bCs/>
        </w:rPr>
        <w:t>as postulating</w:t>
      </w:r>
      <w:r w:rsidR="00A1044D" w:rsidRPr="005825D4">
        <w:rPr>
          <w:bCs/>
        </w:rPr>
        <w:t xml:space="preserve"> an objective test. The learned judge</w:t>
      </w:r>
      <w:r w:rsidR="00FB293F" w:rsidRPr="005825D4">
        <w:rPr>
          <w:bCs/>
        </w:rPr>
        <w:t xml:space="preserve"> </w:t>
      </w:r>
      <w:r w:rsidR="00B978A4" w:rsidRPr="005825D4">
        <w:rPr>
          <w:bCs/>
        </w:rPr>
        <w:t>held that the proviso to s </w:t>
      </w:r>
      <w:r w:rsidR="00A1044D" w:rsidRPr="005825D4">
        <w:rPr>
          <w:bCs/>
        </w:rPr>
        <w:t xml:space="preserve">12 was not </w:t>
      </w:r>
      <w:r w:rsidR="00700A74" w:rsidRPr="005825D4">
        <w:rPr>
          <w:bCs/>
        </w:rPr>
        <w:t>unclear</w:t>
      </w:r>
      <w:r w:rsidR="00A1044D" w:rsidRPr="005825D4">
        <w:rPr>
          <w:bCs/>
        </w:rPr>
        <w:t xml:space="preserve"> and that</w:t>
      </w:r>
      <w:r w:rsidR="00700A74" w:rsidRPr="005825D4">
        <w:rPr>
          <w:bCs/>
        </w:rPr>
        <w:t>,</w:t>
      </w:r>
      <w:r w:rsidR="00A1044D" w:rsidRPr="005825D4">
        <w:rPr>
          <w:bCs/>
        </w:rPr>
        <w:t xml:space="preserve"> in any event</w:t>
      </w:r>
      <w:r w:rsidR="00700A74" w:rsidRPr="005825D4">
        <w:rPr>
          <w:bCs/>
        </w:rPr>
        <w:t>, no</w:t>
      </w:r>
      <w:r w:rsidR="00A1044D" w:rsidRPr="005825D4">
        <w:rPr>
          <w:bCs/>
        </w:rPr>
        <w:t xml:space="preserve"> facts were </w:t>
      </w:r>
      <w:r w:rsidR="00700A74" w:rsidRPr="005825D4">
        <w:rPr>
          <w:bCs/>
        </w:rPr>
        <w:t xml:space="preserve">placed </w:t>
      </w:r>
      <w:r w:rsidR="00A1044D" w:rsidRPr="005825D4">
        <w:rPr>
          <w:bCs/>
        </w:rPr>
        <w:t>before him</w:t>
      </w:r>
      <w:r w:rsidR="00700A74" w:rsidRPr="005825D4">
        <w:rPr>
          <w:bCs/>
        </w:rPr>
        <w:t xml:space="preserve"> in order for Mr Qwelane to claim the benefit </w:t>
      </w:r>
      <w:r w:rsidR="00BE433A" w:rsidRPr="005825D4">
        <w:rPr>
          <w:bCs/>
        </w:rPr>
        <w:t>thereof</w:t>
      </w:r>
      <w:r w:rsidR="00700A74" w:rsidRPr="005825D4">
        <w:rPr>
          <w:bCs/>
        </w:rPr>
        <w:t xml:space="preserve">. Moshidi </w:t>
      </w:r>
      <w:r w:rsidR="00B978A4" w:rsidRPr="005825D4">
        <w:rPr>
          <w:bCs/>
        </w:rPr>
        <w:t>J held that the provisions of s </w:t>
      </w:r>
      <w:r w:rsidR="00700A74" w:rsidRPr="005825D4">
        <w:rPr>
          <w:bCs/>
        </w:rPr>
        <w:t>10(1)</w:t>
      </w:r>
      <w:r w:rsidR="00700A74" w:rsidRPr="005825D4">
        <w:rPr>
          <w:bCs/>
          <w:i/>
        </w:rPr>
        <w:t>(a)</w:t>
      </w:r>
      <w:r w:rsidR="00700A74" w:rsidRPr="005825D4">
        <w:rPr>
          <w:bCs/>
        </w:rPr>
        <w:t>-</w:t>
      </w:r>
      <w:r w:rsidR="00700A74" w:rsidRPr="005825D4">
        <w:rPr>
          <w:bCs/>
          <w:i/>
        </w:rPr>
        <w:t>(c)</w:t>
      </w:r>
      <w:r w:rsidR="00700A74" w:rsidRPr="005825D4">
        <w:rPr>
          <w:bCs/>
        </w:rPr>
        <w:t xml:space="preserve"> had to be read co</w:t>
      </w:r>
      <w:r w:rsidR="008C34C8" w:rsidRPr="005825D4">
        <w:rPr>
          <w:bCs/>
        </w:rPr>
        <w:t>njunctively and, if that was done, the section would be</w:t>
      </w:r>
      <w:r w:rsidR="00B978A4" w:rsidRPr="005825D4">
        <w:rPr>
          <w:bCs/>
        </w:rPr>
        <w:t xml:space="preserve"> consonant with s </w:t>
      </w:r>
      <w:r w:rsidR="00700A74" w:rsidRPr="005825D4">
        <w:rPr>
          <w:bCs/>
        </w:rPr>
        <w:t xml:space="preserve">16 of the Constitution. He rejected the </w:t>
      </w:r>
      <w:r w:rsidR="00700A74" w:rsidRPr="005825D4">
        <w:rPr>
          <w:bCs/>
          <w:lang w:val="en-ZA"/>
        </w:rPr>
        <w:t>overbreadth</w:t>
      </w:r>
      <w:r w:rsidR="00700A74" w:rsidRPr="005825D4">
        <w:rPr>
          <w:bCs/>
        </w:rPr>
        <w:t xml:space="preserve"> challenge on behalf of Mr Qwelane. </w:t>
      </w:r>
      <w:r w:rsidR="00FB293F" w:rsidRPr="005825D4">
        <w:rPr>
          <w:bCs/>
        </w:rPr>
        <w:t xml:space="preserve">The </w:t>
      </w:r>
      <w:r w:rsidR="002351C7" w:rsidRPr="005825D4">
        <w:rPr>
          <w:bCs/>
        </w:rPr>
        <w:t>full range of the</w:t>
      </w:r>
      <w:r w:rsidR="00FB293F" w:rsidRPr="005825D4">
        <w:rPr>
          <w:bCs/>
        </w:rPr>
        <w:t xml:space="preserve"> orders made</w:t>
      </w:r>
      <w:r w:rsidR="00BE433A" w:rsidRPr="005825D4">
        <w:rPr>
          <w:bCs/>
        </w:rPr>
        <w:t>,</w:t>
      </w:r>
      <w:r w:rsidR="002F0595" w:rsidRPr="005825D4">
        <w:rPr>
          <w:bCs/>
        </w:rPr>
        <w:t xml:space="preserve"> both in relation to the complaint and the opposition by Mr Qwelane,</w:t>
      </w:r>
      <w:r w:rsidR="002351C7" w:rsidRPr="005825D4">
        <w:rPr>
          <w:bCs/>
        </w:rPr>
        <w:t xml:space="preserve"> are </w:t>
      </w:r>
      <w:r w:rsidR="00487EBA" w:rsidRPr="005825D4">
        <w:rPr>
          <w:bCs/>
        </w:rPr>
        <w:t>as follows</w:t>
      </w:r>
      <w:r w:rsidR="00284E27" w:rsidRPr="005825D4">
        <w:rPr>
          <w:bCs/>
        </w:rPr>
        <w:t>:</w:t>
      </w:r>
    </w:p>
    <w:p w:rsidR="00284E27" w:rsidRPr="005825D4" w:rsidRDefault="00284E27" w:rsidP="00A722C4">
      <w:pPr>
        <w:spacing w:line="360" w:lineRule="auto"/>
        <w:rPr>
          <w:bCs/>
          <w:sz w:val="22"/>
        </w:rPr>
      </w:pPr>
      <w:r w:rsidRPr="005825D4">
        <w:rPr>
          <w:bCs/>
          <w:sz w:val="22"/>
        </w:rPr>
        <w:t>‘</w:t>
      </w:r>
      <w:r w:rsidR="00904FA7" w:rsidRPr="005825D4">
        <w:rPr>
          <w:bCs/>
          <w:sz w:val="22"/>
        </w:rPr>
        <w:t xml:space="preserve">(i) </w:t>
      </w:r>
      <w:r w:rsidRPr="005825D4">
        <w:rPr>
          <w:bCs/>
          <w:sz w:val="22"/>
        </w:rPr>
        <w:t>The complaint by the Commission as contained in the referral against the applicant (Mr Qwelane) succeeds with costs.</w:t>
      </w:r>
    </w:p>
    <w:p w:rsidR="00284E27" w:rsidRPr="005825D4" w:rsidRDefault="00904FA7" w:rsidP="00A722C4">
      <w:pPr>
        <w:spacing w:line="360" w:lineRule="auto"/>
        <w:rPr>
          <w:bCs/>
          <w:sz w:val="22"/>
        </w:rPr>
      </w:pPr>
      <w:r w:rsidRPr="005825D4">
        <w:rPr>
          <w:bCs/>
          <w:sz w:val="22"/>
        </w:rPr>
        <w:t xml:space="preserve">(ii) </w:t>
      </w:r>
      <w:r w:rsidR="00284E27" w:rsidRPr="005825D4">
        <w:rPr>
          <w:bCs/>
          <w:sz w:val="22"/>
        </w:rPr>
        <w:t>The offending statement</w:t>
      </w:r>
      <w:r w:rsidR="00697552" w:rsidRPr="005825D4">
        <w:rPr>
          <w:bCs/>
          <w:sz w:val="22"/>
        </w:rPr>
        <w:t>s</w:t>
      </w:r>
      <w:r w:rsidR="00284E27" w:rsidRPr="005825D4">
        <w:rPr>
          <w:bCs/>
          <w:sz w:val="22"/>
        </w:rPr>
        <w:t xml:space="preserve"> (made against the LGBTI community) are declared to be hurtful; harmful, incite harm and propagate hatred; and amount to hate speech as envisaged in section 10 of the Promotion of Equality and Prevention of Unfair </w:t>
      </w:r>
      <w:r w:rsidR="00872793" w:rsidRPr="005825D4">
        <w:rPr>
          <w:bCs/>
          <w:sz w:val="22"/>
        </w:rPr>
        <w:t>Discrimination</w:t>
      </w:r>
      <w:r w:rsidR="00284E27" w:rsidRPr="005825D4">
        <w:rPr>
          <w:bCs/>
          <w:sz w:val="22"/>
        </w:rPr>
        <w:t xml:space="preserve"> Act No 4 of 2000.</w:t>
      </w:r>
    </w:p>
    <w:p w:rsidR="00284E27" w:rsidRPr="005825D4" w:rsidRDefault="00904FA7" w:rsidP="00A722C4">
      <w:pPr>
        <w:spacing w:line="360" w:lineRule="auto"/>
        <w:rPr>
          <w:bCs/>
          <w:sz w:val="22"/>
        </w:rPr>
      </w:pPr>
      <w:r w:rsidRPr="005825D4">
        <w:rPr>
          <w:bCs/>
          <w:sz w:val="22"/>
        </w:rPr>
        <w:t xml:space="preserve">(iii) </w:t>
      </w:r>
      <w:r w:rsidR="00284E27" w:rsidRPr="005825D4">
        <w:rPr>
          <w:bCs/>
          <w:sz w:val="22"/>
        </w:rPr>
        <w:t xml:space="preserve">The applicant (Mr Qwelane) is ordered to tender to the LGBTI community (in particular the homosexuals) an unconditional written apology within thirty (30) days of this order, or within such other period as the parties may agree pursuant to negotiation and settlement of the contents of such apology. The apology shall be published in one edition of a national Sunday newspaper of </w:t>
      </w:r>
      <w:r w:rsidR="00284E27" w:rsidRPr="005825D4">
        <w:rPr>
          <w:bCs/>
          <w:sz w:val="22"/>
        </w:rPr>
        <w:lastRenderedPageBreak/>
        <w:t>the same or equal circulation as the Sunday Sun newspaper, in order to receive the same publicity as the offending statements. Thereafter proof of the publication of such written apology shall be furnished to this Court immediately.</w:t>
      </w:r>
    </w:p>
    <w:p w:rsidR="00284E27" w:rsidRPr="005825D4" w:rsidRDefault="007572D1" w:rsidP="00A722C4">
      <w:pPr>
        <w:spacing w:line="360" w:lineRule="auto"/>
        <w:rPr>
          <w:bCs/>
          <w:sz w:val="22"/>
        </w:rPr>
      </w:pPr>
      <w:r w:rsidRPr="005825D4">
        <w:rPr>
          <w:bCs/>
          <w:sz w:val="22"/>
        </w:rPr>
        <w:t xml:space="preserve">(iv) </w:t>
      </w:r>
      <w:r w:rsidR="00284E27" w:rsidRPr="005825D4">
        <w:rPr>
          <w:bCs/>
          <w:sz w:val="22"/>
        </w:rPr>
        <w:t>The Registrar of this Court is ordered to have the proceedings of this matter transcribed immediately and forwarded, with a copy of the revised judgment, to the Commissioner of the South African Police Service for further investigation as envisaged in section 21(4) of the Promotion of Equ</w:t>
      </w:r>
      <w:r w:rsidR="00CE4903" w:rsidRPr="005825D4">
        <w:rPr>
          <w:bCs/>
          <w:sz w:val="22"/>
        </w:rPr>
        <w:t>ality and Preve</w:t>
      </w:r>
      <w:r w:rsidR="00872793" w:rsidRPr="005825D4">
        <w:rPr>
          <w:bCs/>
          <w:sz w:val="22"/>
        </w:rPr>
        <w:t>ntion of Unfair Discrimination</w:t>
      </w:r>
      <w:r w:rsidR="00284E27" w:rsidRPr="005825D4">
        <w:rPr>
          <w:bCs/>
          <w:sz w:val="22"/>
        </w:rPr>
        <w:t xml:space="preserve"> Act 4 of 2000 (the Equality Act).</w:t>
      </w:r>
    </w:p>
    <w:p w:rsidR="00284E27" w:rsidRPr="005825D4" w:rsidRDefault="007572D1" w:rsidP="00A722C4">
      <w:pPr>
        <w:spacing w:line="360" w:lineRule="auto"/>
        <w:rPr>
          <w:bCs/>
          <w:sz w:val="22"/>
        </w:rPr>
      </w:pPr>
      <w:r w:rsidRPr="005825D4">
        <w:rPr>
          <w:bCs/>
          <w:sz w:val="22"/>
        </w:rPr>
        <w:t xml:space="preserve">(v) </w:t>
      </w:r>
      <w:r w:rsidR="00284E27" w:rsidRPr="005825D4">
        <w:rPr>
          <w:bCs/>
          <w:sz w:val="22"/>
        </w:rPr>
        <w:t xml:space="preserve">The constitutional challenge of the applicant is dismissed with costs. </w:t>
      </w:r>
    </w:p>
    <w:p w:rsidR="00284E27" w:rsidRPr="005825D4" w:rsidRDefault="007572D1" w:rsidP="00A722C4">
      <w:pPr>
        <w:spacing w:line="360" w:lineRule="auto"/>
        <w:rPr>
          <w:bCs/>
          <w:sz w:val="22"/>
        </w:rPr>
      </w:pPr>
      <w:r w:rsidRPr="005825D4">
        <w:rPr>
          <w:bCs/>
          <w:sz w:val="22"/>
        </w:rPr>
        <w:t xml:space="preserve">(vi) </w:t>
      </w:r>
      <w:r w:rsidR="00284E27" w:rsidRPr="005825D4">
        <w:rPr>
          <w:bCs/>
          <w:sz w:val="22"/>
        </w:rPr>
        <w:t xml:space="preserve">The applicant (Mr Qwelane) is ordered to pay the costs of these proceedings. Such costs shall include the costs occasioned by the postponement of the matter previously, and the costs </w:t>
      </w:r>
      <w:r w:rsidR="001C047B" w:rsidRPr="005825D4">
        <w:rPr>
          <w:bCs/>
          <w:sz w:val="22"/>
        </w:rPr>
        <w:t>of senior counsel.’</w:t>
      </w:r>
    </w:p>
    <w:p w:rsidR="00FB293F" w:rsidRPr="005825D4" w:rsidRDefault="008175F4" w:rsidP="00A722C4">
      <w:pPr>
        <w:spacing w:line="360" w:lineRule="auto"/>
        <w:rPr>
          <w:bCs/>
        </w:rPr>
      </w:pPr>
      <w:r w:rsidRPr="005825D4">
        <w:rPr>
          <w:bCs/>
        </w:rPr>
        <w:t>I</w:t>
      </w:r>
      <w:r w:rsidR="00AC0091" w:rsidRPr="005825D4">
        <w:rPr>
          <w:bCs/>
        </w:rPr>
        <w:t>t is against th</w:t>
      </w:r>
      <w:r w:rsidR="002F0595" w:rsidRPr="005825D4">
        <w:rPr>
          <w:bCs/>
        </w:rPr>
        <w:t>e</w:t>
      </w:r>
      <w:r w:rsidR="00AC0091" w:rsidRPr="005825D4">
        <w:rPr>
          <w:bCs/>
        </w:rPr>
        <w:t>se orders that the present appeal</w:t>
      </w:r>
      <w:r w:rsidR="007768B1" w:rsidRPr="005825D4">
        <w:rPr>
          <w:bCs/>
        </w:rPr>
        <w:t>,</w:t>
      </w:r>
      <w:r w:rsidR="00D8701D" w:rsidRPr="005825D4">
        <w:rPr>
          <w:bCs/>
        </w:rPr>
        <w:t xml:space="preserve"> with the leave of </w:t>
      </w:r>
      <w:r w:rsidR="00874808" w:rsidRPr="005825D4">
        <w:rPr>
          <w:bCs/>
        </w:rPr>
        <w:t>Moshidi J</w:t>
      </w:r>
      <w:r w:rsidR="007768B1" w:rsidRPr="005825D4">
        <w:rPr>
          <w:bCs/>
        </w:rPr>
        <w:t>,</w:t>
      </w:r>
      <w:r w:rsidR="00AC0091" w:rsidRPr="005825D4">
        <w:rPr>
          <w:bCs/>
        </w:rPr>
        <w:t xml:space="preserve"> is directed.</w:t>
      </w:r>
    </w:p>
    <w:p w:rsidR="00FB293F" w:rsidRPr="005825D4" w:rsidRDefault="00FB293F" w:rsidP="00A722C4">
      <w:pPr>
        <w:spacing w:line="360" w:lineRule="auto"/>
        <w:rPr>
          <w:bCs/>
        </w:rPr>
      </w:pPr>
    </w:p>
    <w:p w:rsidR="009648C6" w:rsidRPr="005825D4" w:rsidRDefault="009648C6" w:rsidP="00A722C4">
      <w:pPr>
        <w:spacing w:line="360" w:lineRule="auto"/>
        <w:rPr>
          <w:b/>
          <w:bCs/>
        </w:rPr>
      </w:pPr>
      <w:r w:rsidRPr="005825D4">
        <w:rPr>
          <w:b/>
          <w:bCs/>
        </w:rPr>
        <w:t>The constitutional challenge</w:t>
      </w:r>
    </w:p>
    <w:p w:rsidR="00026C95" w:rsidRPr="005825D4" w:rsidRDefault="00BD7F48" w:rsidP="00A722C4">
      <w:pPr>
        <w:spacing w:line="360" w:lineRule="auto"/>
        <w:rPr>
          <w:bCs/>
        </w:rPr>
      </w:pPr>
      <w:r w:rsidRPr="005825D4">
        <w:rPr>
          <w:bCs/>
        </w:rPr>
        <w:t>[35</w:t>
      </w:r>
      <w:r w:rsidR="00261BF0" w:rsidRPr="005825D4">
        <w:rPr>
          <w:bCs/>
        </w:rPr>
        <w:t>]</w:t>
      </w:r>
      <w:r w:rsidR="00FB293F" w:rsidRPr="005825D4">
        <w:rPr>
          <w:bCs/>
        </w:rPr>
        <w:tab/>
      </w:r>
      <w:r w:rsidR="00692A07" w:rsidRPr="005825D4">
        <w:rPr>
          <w:bCs/>
        </w:rPr>
        <w:t xml:space="preserve">As indicated at the commencement of this judgment, the starting point </w:t>
      </w:r>
      <w:r w:rsidR="00026C95" w:rsidRPr="005825D4">
        <w:rPr>
          <w:bCs/>
        </w:rPr>
        <w:t xml:space="preserve">in determining this appeal </w:t>
      </w:r>
      <w:r w:rsidR="00692A07" w:rsidRPr="005825D4">
        <w:rPr>
          <w:bCs/>
        </w:rPr>
        <w:t xml:space="preserve">is the constitutionality of the impugned sections of PEPUDA. </w:t>
      </w:r>
      <w:r w:rsidR="00026C95" w:rsidRPr="005825D4">
        <w:rPr>
          <w:bCs/>
        </w:rPr>
        <w:t>It is under those provisions</w:t>
      </w:r>
      <w:r w:rsidR="00B978A4" w:rsidRPr="005825D4">
        <w:rPr>
          <w:bCs/>
        </w:rPr>
        <w:t>, more particularly s </w:t>
      </w:r>
      <w:r w:rsidR="00734E97" w:rsidRPr="005825D4">
        <w:rPr>
          <w:bCs/>
        </w:rPr>
        <w:t>10(1) read with s</w:t>
      </w:r>
      <w:r w:rsidR="00AA6AD8" w:rsidRPr="005825D4">
        <w:rPr>
          <w:bCs/>
        </w:rPr>
        <w:t>s</w:t>
      </w:r>
      <w:r w:rsidR="00B978A4" w:rsidRPr="005825D4">
        <w:rPr>
          <w:bCs/>
        </w:rPr>
        <w:t> </w:t>
      </w:r>
      <w:r w:rsidR="00734E97" w:rsidRPr="005825D4">
        <w:rPr>
          <w:bCs/>
        </w:rPr>
        <w:t>1 and 12 of PEPUDA,</w:t>
      </w:r>
      <w:r w:rsidR="00026C95" w:rsidRPr="005825D4">
        <w:rPr>
          <w:bCs/>
        </w:rPr>
        <w:t xml:space="preserve"> that </w:t>
      </w:r>
      <w:r w:rsidR="00697552" w:rsidRPr="005825D4">
        <w:rPr>
          <w:bCs/>
        </w:rPr>
        <w:t>the complaint against Mr Qwelane was brought</w:t>
      </w:r>
      <w:r w:rsidR="002F0595" w:rsidRPr="005825D4">
        <w:rPr>
          <w:bCs/>
        </w:rPr>
        <w:t xml:space="preserve"> and in relation to which the findings by M</w:t>
      </w:r>
      <w:r w:rsidR="00487EBA" w:rsidRPr="005825D4">
        <w:rPr>
          <w:bCs/>
        </w:rPr>
        <w:t xml:space="preserve">oshidi J, referred to in </w:t>
      </w:r>
      <w:r w:rsidR="00CB6878" w:rsidRPr="005825D4">
        <w:rPr>
          <w:bCs/>
        </w:rPr>
        <w:t>the preceding paragraphs</w:t>
      </w:r>
      <w:r w:rsidR="002F0595" w:rsidRPr="005825D4">
        <w:rPr>
          <w:bCs/>
        </w:rPr>
        <w:t>, were made</w:t>
      </w:r>
      <w:r w:rsidR="00026C95" w:rsidRPr="005825D4">
        <w:rPr>
          <w:bCs/>
        </w:rPr>
        <w:t xml:space="preserve">. </w:t>
      </w:r>
      <w:r w:rsidR="001444FF" w:rsidRPr="005825D4">
        <w:rPr>
          <w:bCs/>
        </w:rPr>
        <w:t>Section 10</w:t>
      </w:r>
      <w:r w:rsidR="00734E97" w:rsidRPr="005825D4">
        <w:rPr>
          <w:bCs/>
        </w:rPr>
        <w:t>(1)</w:t>
      </w:r>
      <w:r w:rsidR="001444FF" w:rsidRPr="005825D4">
        <w:rPr>
          <w:bCs/>
        </w:rPr>
        <w:t xml:space="preserve"> of PEPUDA has </w:t>
      </w:r>
      <w:r w:rsidR="00A6195A" w:rsidRPr="005825D4">
        <w:rPr>
          <w:bCs/>
        </w:rPr>
        <w:t>properly been</w:t>
      </w:r>
      <w:r w:rsidR="001444FF" w:rsidRPr="005825D4">
        <w:rPr>
          <w:bCs/>
        </w:rPr>
        <w:t xml:space="preserve"> described as the primary vehicle in PEPUDA for regulating hate speech.</w:t>
      </w:r>
      <w:r w:rsidR="001444FF" w:rsidRPr="005825D4">
        <w:rPr>
          <w:rStyle w:val="FootnoteReference"/>
          <w:bCs/>
        </w:rPr>
        <w:footnoteReference w:id="15"/>
      </w:r>
      <w:r w:rsidR="001444FF" w:rsidRPr="005825D4">
        <w:rPr>
          <w:bCs/>
        </w:rPr>
        <w:t xml:space="preserve"> </w:t>
      </w:r>
      <w:r w:rsidR="00026C95" w:rsidRPr="005825D4">
        <w:rPr>
          <w:bCs/>
        </w:rPr>
        <w:t>A decision in rela</w:t>
      </w:r>
      <w:r w:rsidR="00697552" w:rsidRPr="005825D4">
        <w:rPr>
          <w:bCs/>
        </w:rPr>
        <w:t xml:space="preserve">tion to the constitutionality </w:t>
      </w:r>
      <w:r w:rsidR="00B978A4" w:rsidRPr="005825D4">
        <w:rPr>
          <w:bCs/>
        </w:rPr>
        <w:t>of s </w:t>
      </w:r>
      <w:r w:rsidR="00026C95" w:rsidRPr="005825D4">
        <w:rPr>
          <w:bCs/>
        </w:rPr>
        <w:t>10</w:t>
      </w:r>
      <w:r w:rsidR="00734E97" w:rsidRPr="005825D4">
        <w:rPr>
          <w:bCs/>
        </w:rPr>
        <w:t>(1)</w:t>
      </w:r>
      <w:r w:rsidR="00026C95" w:rsidRPr="005825D4">
        <w:rPr>
          <w:bCs/>
        </w:rPr>
        <w:t xml:space="preserve"> </w:t>
      </w:r>
      <w:r w:rsidR="009B146A" w:rsidRPr="005825D4">
        <w:rPr>
          <w:bCs/>
        </w:rPr>
        <w:t>is foundational to the outcome of this appeal.</w:t>
      </w:r>
    </w:p>
    <w:p w:rsidR="00026C95" w:rsidRPr="005825D4" w:rsidRDefault="00026C95" w:rsidP="00A722C4">
      <w:pPr>
        <w:spacing w:line="360" w:lineRule="auto"/>
        <w:rPr>
          <w:bCs/>
        </w:rPr>
      </w:pPr>
    </w:p>
    <w:p w:rsidR="005D57F4" w:rsidRPr="005825D4" w:rsidRDefault="00BD7F48" w:rsidP="00A722C4">
      <w:pPr>
        <w:spacing w:line="360" w:lineRule="auto"/>
        <w:rPr>
          <w:bCs/>
        </w:rPr>
      </w:pPr>
      <w:r w:rsidRPr="005825D4">
        <w:rPr>
          <w:bCs/>
        </w:rPr>
        <w:t>[36</w:t>
      </w:r>
      <w:r w:rsidR="00026C95" w:rsidRPr="005825D4">
        <w:rPr>
          <w:bCs/>
        </w:rPr>
        <w:t>]</w:t>
      </w:r>
      <w:r w:rsidR="00026C95" w:rsidRPr="005825D4">
        <w:rPr>
          <w:bCs/>
        </w:rPr>
        <w:tab/>
      </w:r>
      <w:r w:rsidR="006F06A8" w:rsidRPr="005825D4">
        <w:rPr>
          <w:bCs/>
        </w:rPr>
        <w:t>Before us it was con</w:t>
      </w:r>
      <w:r w:rsidR="00B978A4" w:rsidRPr="005825D4">
        <w:rPr>
          <w:bCs/>
        </w:rPr>
        <w:t>tended that the provisions of s </w:t>
      </w:r>
      <w:r w:rsidR="006F06A8" w:rsidRPr="005825D4">
        <w:rPr>
          <w:bCs/>
        </w:rPr>
        <w:t>10</w:t>
      </w:r>
      <w:r w:rsidR="00734E97" w:rsidRPr="005825D4">
        <w:rPr>
          <w:bCs/>
        </w:rPr>
        <w:t>(1)</w:t>
      </w:r>
      <w:r w:rsidR="006F06A8" w:rsidRPr="005825D4">
        <w:rPr>
          <w:bCs/>
        </w:rPr>
        <w:t xml:space="preserve"> of PEPUDA</w:t>
      </w:r>
      <w:r w:rsidR="00026C95" w:rsidRPr="005825D4">
        <w:rPr>
          <w:bCs/>
        </w:rPr>
        <w:t xml:space="preserve"> </w:t>
      </w:r>
      <w:r w:rsidR="005E2F21" w:rsidRPr="005825D4">
        <w:rPr>
          <w:bCs/>
        </w:rPr>
        <w:t>were</w:t>
      </w:r>
      <w:r w:rsidR="00026C95" w:rsidRPr="005825D4">
        <w:rPr>
          <w:bCs/>
        </w:rPr>
        <w:t xml:space="preserve"> unconstitutional because </w:t>
      </w:r>
      <w:r w:rsidR="005E2F21" w:rsidRPr="005825D4">
        <w:rPr>
          <w:bCs/>
        </w:rPr>
        <w:t>they</w:t>
      </w:r>
      <w:r w:rsidR="009648C6" w:rsidRPr="005825D4">
        <w:rPr>
          <w:bCs/>
        </w:rPr>
        <w:t xml:space="preserve"> unjustifiably</w:t>
      </w:r>
      <w:r w:rsidR="005E2F21" w:rsidRPr="005825D4">
        <w:rPr>
          <w:bCs/>
        </w:rPr>
        <w:t xml:space="preserve"> limit</w:t>
      </w:r>
      <w:r w:rsidR="006F06A8" w:rsidRPr="005825D4">
        <w:rPr>
          <w:bCs/>
        </w:rPr>
        <w:t xml:space="preserve"> the constitutionally guaranteed righ</w:t>
      </w:r>
      <w:r w:rsidR="00B978A4" w:rsidRPr="005825D4">
        <w:rPr>
          <w:bCs/>
        </w:rPr>
        <w:t>t to freedom of expression in s </w:t>
      </w:r>
      <w:r w:rsidR="00134E76" w:rsidRPr="005825D4">
        <w:rPr>
          <w:bCs/>
        </w:rPr>
        <w:t xml:space="preserve">16 of the Constitution, which </w:t>
      </w:r>
      <w:r w:rsidR="00734E97" w:rsidRPr="005825D4">
        <w:rPr>
          <w:bCs/>
        </w:rPr>
        <w:t>reads</w:t>
      </w:r>
      <w:r w:rsidR="00134E76" w:rsidRPr="005825D4">
        <w:rPr>
          <w:bCs/>
        </w:rPr>
        <w:t xml:space="preserve"> as follows:</w:t>
      </w:r>
    </w:p>
    <w:p w:rsidR="00134E76" w:rsidRPr="005825D4" w:rsidRDefault="00134E76" w:rsidP="00A722C4">
      <w:pPr>
        <w:spacing w:line="360" w:lineRule="auto"/>
        <w:rPr>
          <w:bCs/>
          <w:sz w:val="22"/>
        </w:rPr>
      </w:pPr>
      <w:r w:rsidRPr="005825D4">
        <w:rPr>
          <w:bCs/>
          <w:sz w:val="22"/>
        </w:rPr>
        <w:t>‘(1) Everyone has the right to freedom</w:t>
      </w:r>
      <w:r w:rsidR="00BE433A" w:rsidRPr="005825D4">
        <w:rPr>
          <w:bCs/>
          <w:sz w:val="22"/>
        </w:rPr>
        <w:t xml:space="preserve"> of expression, which includes -</w:t>
      </w:r>
    </w:p>
    <w:p w:rsidR="00134E76" w:rsidRPr="005825D4" w:rsidRDefault="00134E76" w:rsidP="00A722C4">
      <w:pPr>
        <w:pStyle w:val="ListParagraph"/>
        <w:numPr>
          <w:ilvl w:val="0"/>
          <w:numId w:val="2"/>
        </w:numPr>
        <w:spacing w:line="360" w:lineRule="auto"/>
        <w:rPr>
          <w:rFonts w:ascii="Arial" w:hAnsi="Arial" w:cs="Arial"/>
          <w:bCs/>
          <w:sz w:val="22"/>
        </w:rPr>
      </w:pPr>
      <w:r w:rsidRPr="005825D4">
        <w:rPr>
          <w:rFonts w:ascii="Arial" w:hAnsi="Arial" w:cs="Arial"/>
          <w:bCs/>
          <w:sz w:val="22"/>
        </w:rPr>
        <w:t>freedom of the press and other media;</w:t>
      </w:r>
    </w:p>
    <w:p w:rsidR="00134E76" w:rsidRPr="005825D4" w:rsidRDefault="00134E76" w:rsidP="00A722C4">
      <w:pPr>
        <w:pStyle w:val="ListParagraph"/>
        <w:numPr>
          <w:ilvl w:val="0"/>
          <w:numId w:val="2"/>
        </w:numPr>
        <w:spacing w:line="360" w:lineRule="auto"/>
        <w:rPr>
          <w:rFonts w:ascii="Arial" w:hAnsi="Arial" w:cs="Arial"/>
          <w:bCs/>
          <w:sz w:val="22"/>
        </w:rPr>
      </w:pPr>
      <w:r w:rsidRPr="005825D4">
        <w:rPr>
          <w:rFonts w:ascii="Arial" w:hAnsi="Arial" w:cs="Arial"/>
          <w:bCs/>
          <w:sz w:val="22"/>
        </w:rPr>
        <w:t>freedom to receive or impart information or ideas;</w:t>
      </w:r>
    </w:p>
    <w:p w:rsidR="00134E76" w:rsidRPr="005825D4" w:rsidRDefault="00134E76" w:rsidP="00A722C4">
      <w:pPr>
        <w:pStyle w:val="ListParagraph"/>
        <w:numPr>
          <w:ilvl w:val="0"/>
          <w:numId w:val="2"/>
        </w:numPr>
        <w:spacing w:line="360" w:lineRule="auto"/>
        <w:rPr>
          <w:rFonts w:ascii="Arial" w:hAnsi="Arial" w:cs="Arial"/>
          <w:bCs/>
          <w:sz w:val="22"/>
        </w:rPr>
      </w:pPr>
      <w:r w:rsidRPr="005825D4">
        <w:rPr>
          <w:rFonts w:ascii="Arial" w:hAnsi="Arial" w:cs="Arial"/>
          <w:bCs/>
          <w:sz w:val="22"/>
        </w:rPr>
        <w:t>freedom of artistic creativity; and</w:t>
      </w:r>
    </w:p>
    <w:p w:rsidR="00134E76" w:rsidRPr="005825D4" w:rsidRDefault="00134E76" w:rsidP="00A722C4">
      <w:pPr>
        <w:pStyle w:val="ListParagraph"/>
        <w:numPr>
          <w:ilvl w:val="0"/>
          <w:numId w:val="2"/>
        </w:numPr>
        <w:spacing w:line="360" w:lineRule="auto"/>
        <w:rPr>
          <w:rFonts w:ascii="Arial" w:hAnsi="Arial" w:cs="Arial"/>
          <w:bCs/>
          <w:sz w:val="22"/>
        </w:rPr>
      </w:pPr>
      <w:r w:rsidRPr="005825D4">
        <w:rPr>
          <w:rFonts w:ascii="Arial" w:hAnsi="Arial" w:cs="Arial"/>
          <w:bCs/>
          <w:sz w:val="22"/>
        </w:rPr>
        <w:t>academic freedom and freedom of scientific research.</w:t>
      </w:r>
    </w:p>
    <w:p w:rsidR="00134E76" w:rsidRPr="005825D4" w:rsidRDefault="00134E76" w:rsidP="00A722C4">
      <w:pPr>
        <w:spacing w:line="360" w:lineRule="auto"/>
        <w:rPr>
          <w:bCs/>
          <w:sz w:val="22"/>
        </w:rPr>
      </w:pPr>
      <w:r w:rsidRPr="005825D4">
        <w:rPr>
          <w:bCs/>
          <w:sz w:val="22"/>
        </w:rPr>
        <w:lastRenderedPageBreak/>
        <w:t>(2) The right in sub</w:t>
      </w:r>
      <w:r w:rsidR="00BE433A" w:rsidRPr="005825D4">
        <w:rPr>
          <w:bCs/>
          <w:sz w:val="22"/>
        </w:rPr>
        <w:t>section (1) does not extend to -</w:t>
      </w:r>
      <w:r w:rsidRPr="005825D4">
        <w:rPr>
          <w:bCs/>
          <w:sz w:val="22"/>
        </w:rPr>
        <w:t xml:space="preserve"> </w:t>
      </w:r>
    </w:p>
    <w:p w:rsidR="00134E76" w:rsidRPr="005825D4" w:rsidRDefault="00134E76" w:rsidP="00A722C4">
      <w:pPr>
        <w:spacing w:line="360" w:lineRule="auto"/>
        <w:rPr>
          <w:bCs/>
          <w:sz w:val="22"/>
        </w:rPr>
      </w:pPr>
      <w:r w:rsidRPr="005825D4">
        <w:rPr>
          <w:bCs/>
          <w:i/>
          <w:sz w:val="22"/>
        </w:rPr>
        <w:t>(a)</w:t>
      </w:r>
      <w:r w:rsidRPr="005825D4">
        <w:rPr>
          <w:bCs/>
          <w:sz w:val="22"/>
        </w:rPr>
        <w:t xml:space="preserve"> propaganda for war;</w:t>
      </w:r>
    </w:p>
    <w:p w:rsidR="00134E76" w:rsidRPr="005825D4" w:rsidRDefault="00134E76" w:rsidP="00A722C4">
      <w:pPr>
        <w:spacing w:line="360" w:lineRule="auto"/>
        <w:rPr>
          <w:bCs/>
          <w:sz w:val="22"/>
        </w:rPr>
      </w:pPr>
      <w:r w:rsidRPr="005825D4">
        <w:rPr>
          <w:bCs/>
          <w:i/>
          <w:sz w:val="22"/>
        </w:rPr>
        <w:t>(b)</w:t>
      </w:r>
      <w:r w:rsidRPr="005825D4">
        <w:rPr>
          <w:bCs/>
          <w:sz w:val="22"/>
        </w:rPr>
        <w:t xml:space="preserve"> incitement of imminent violence; or</w:t>
      </w:r>
    </w:p>
    <w:p w:rsidR="00134E76" w:rsidRPr="005825D4" w:rsidRDefault="00134E76" w:rsidP="00A722C4">
      <w:pPr>
        <w:spacing w:line="360" w:lineRule="auto"/>
        <w:rPr>
          <w:bCs/>
          <w:sz w:val="22"/>
        </w:rPr>
      </w:pPr>
      <w:r w:rsidRPr="005825D4">
        <w:rPr>
          <w:bCs/>
          <w:i/>
          <w:sz w:val="22"/>
        </w:rPr>
        <w:t>(c)</w:t>
      </w:r>
      <w:r w:rsidRPr="005825D4">
        <w:rPr>
          <w:bCs/>
          <w:sz w:val="22"/>
        </w:rPr>
        <w:t xml:space="preserve"> advocacy of hatred that is based on race, ethnicity, gender or religion, and that constitutes incitement to cause harm.’</w:t>
      </w:r>
    </w:p>
    <w:p w:rsidR="00134E76" w:rsidRPr="005825D4" w:rsidRDefault="009648C6" w:rsidP="00A722C4">
      <w:pPr>
        <w:spacing w:line="360" w:lineRule="auto"/>
        <w:rPr>
          <w:bCs/>
        </w:rPr>
      </w:pPr>
      <w:r w:rsidRPr="005825D4">
        <w:rPr>
          <w:bCs/>
        </w:rPr>
        <w:t>In short, it was submitted that the provisions of PEPUDA in terms of which Mr Qwelane was charged in the equality court</w:t>
      </w:r>
      <w:r w:rsidR="00734E97" w:rsidRPr="005825D4">
        <w:rPr>
          <w:bCs/>
        </w:rPr>
        <w:t>, in limiting freedom of expression,</w:t>
      </w:r>
      <w:r w:rsidR="008C34C8" w:rsidRPr="005825D4">
        <w:rPr>
          <w:bCs/>
        </w:rPr>
        <w:t xml:space="preserve"> impermissibly</w:t>
      </w:r>
      <w:r w:rsidR="00697552" w:rsidRPr="005825D4">
        <w:rPr>
          <w:bCs/>
        </w:rPr>
        <w:t xml:space="preserve"> extended far beyond the speech that is excluded from protection by </w:t>
      </w:r>
      <w:r w:rsidR="00B978A4" w:rsidRPr="005825D4">
        <w:rPr>
          <w:bCs/>
        </w:rPr>
        <w:t>s </w:t>
      </w:r>
      <w:r w:rsidRPr="005825D4">
        <w:rPr>
          <w:bCs/>
        </w:rPr>
        <w:t>16</w:t>
      </w:r>
      <w:r w:rsidR="00734E97" w:rsidRPr="005825D4">
        <w:rPr>
          <w:bCs/>
        </w:rPr>
        <w:t>(2)</w:t>
      </w:r>
      <w:r w:rsidRPr="005825D4">
        <w:rPr>
          <w:bCs/>
        </w:rPr>
        <w:t xml:space="preserve"> of t</w:t>
      </w:r>
      <w:r w:rsidR="00BA50AD" w:rsidRPr="005825D4">
        <w:rPr>
          <w:bCs/>
        </w:rPr>
        <w:t>he Constitution</w:t>
      </w:r>
      <w:r w:rsidR="003F44B6" w:rsidRPr="005825D4">
        <w:rPr>
          <w:bCs/>
        </w:rPr>
        <w:t>. It was</w:t>
      </w:r>
      <w:r w:rsidR="008C34C8" w:rsidRPr="005825D4">
        <w:rPr>
          <w:bCs/>
        </w:rPr>
        <w:t xml:space="preserve"> also</w:t>
      </w:r>
      <w:r w:rsidR="003F44B6" w:rsidRPr="005825D4">
        <w:rPr>
          <w:bCs/>
        </w:rPr>
        <w:t xml:space="preserve"> contended that</w:t>
      </w:r>
      <w:r w:rsidR="002D4532" w:rsidRPr="005825D4">
        <w:rPr>
          <w:bCs/>
        </w:rPr>
        <w:t xml:space="preserve"> the relevant provisions were</w:t>
      </w:r>
      <w:r w:rsidR="00BA50AD" w:rsidRPr="005825D4">
        <w:rPr>
          <w:bCs/>
        </w:rPr>
        <w:t xml:space="preserve"> overbroad and vague and </w:t>
      </w:r>
      <w:r w:rsidR="00BE433A" w:rsidRPr="005825D4">
        <w:rPr>
          <w:bCs/>
        </w:rPr>
        <w:t xml:space="preserve">accordingly </w:t>
      </w:r>
      <w:r w:rsidR="00BA50AD" w:rsidRPr="005825D4">
        <w:rPr>
          <w:bCs/>
        </w:rPr>
        <w:t xml:space="preserve">did not pass constitutional muster. </w:t>
      </w:r>
    </w:p>
    <w:p w:rsidR="00BA50AD" w:rsidRPr="005825D4" w:rsidRDefault="00BA50AD" w:rsidP="00A722C4">
      <w:pPr>
        <w:spacing w:line="360" w:lineRule="auto"/>
        <w:rPr>
          <w:bCs/>
        </w:rPr>
      </w:pPr>
    </w:p>
    <w:p w:rsidR="00431E31" w:rsidRPr="005825D4" w:rsidRDefault="00BD7F48" w:rsidP="00A722C4">
      <w:pPr>
        <w:spacing w:line="360" w:lineRule="auto"/>
        <w:rPr>
          <w:bCs/>
        </w:rPr>
      </w:pPr>
      <w:r w:rsidRPr="005825D4">
        <w:rPr>
          <w:bCs/>
        </w:rPr>
        <w:t>[37</w:t>
      </w:r>
      <w:r w:rsidR="00431E31" w:rsidRPr="005825D4">
        <w:rPr>
          <w:bCs/>
        </w:rPr>
        <w:t>]</w:t>
      </w:r>
      <w:r w:rsidR="00431E31" w:rsidRPr="005825D4">
        <w:rPr>
          <w:bCs/>
        </w:rPr>
        <w:tab/>
      </w:r>
      <w:r w:rsidR="00BC102C" w:rsidRPr="005825D4">
        <w:rPr>
          <w:bCs/>
        </w:rPr>
        <w:t>Section 16(2) of the Constitution is a provision that explains what is not encompassed under freedom of expression</w:t>
      </w:r>
      <w:r w:rsidR="00AE56A7" w:rsidRPr="005825D4">
        <w:rPr>
          <w:bCs/>
        </w:rPr>
        <w:t>,</w:t>
      </w:r>
      <w:r w:rsidR="00BC102C" w:rsidRPr="005825D4">
        <w:rPr>
          <w:bCs/>
        </w:rPr>
        <w:t xml:space="preserve"> or what it does not extend to. It is known, colloquially, as the ‘hate speech qualification’, although only one of its three components</w:t>
      </w:r>
      <w:r w:rsidR="00B978A4" w:rsidRPr="005825D4">
        <w:rPr>
          <w:bCs/>
        </w:rPr>
        <w:t>, namely, s </w:t>
      </w:r>
      <w:r w:rsidR="0077447F" w:rsidRPr="005825D4">
        <w:rPr>
          <w:bCs/>
        </w:rPr>
        <w:t>16(2)</w:t>
      </w:r>
      <w:r w:rsidR="0077447F" w:rsidRPr="005825D4">
        <w:rPr>
          <w:bCs/>
          <w:i/>
        </w:rPr>
        <w:t>(c)</w:t>
      </w:r>
      <w:r w:rsidR="0077447F" w:rsidRPr="005825D4">
        <w:rPr>
          <w:bCs/>
        </w:rPr>
        <w:t>,</w:t>
      </w:r>
      <w:r w:rsidR="00BC102C" w:rsidRPr="005825D4">
        <w:rPr>
          <w:bCs/>
        </w:rPr>
        <w:t xml:space="preserve"> </w:t>
      </w:r>
      <w:r w:rsidR="00CB6878" w:rsidRPr="005825D4">
        <w:rPr>
          <w:bCs/>
        </w:rPr>
        <w:t>deals with</w:t>
      </w:r>
      <w:r w:rsidR="00BC102C" w:rsidRPr="005825D4">
        <w:rPr>
          <w:bCs/>
        </w:rPr>
        <w:t xml:space="preserve"> hate speech.</w:t>
      </w:r>
      <w:r w:rsidR="00BC102C" w:rsidRPr="005825D4">
        <w:rPr>
          <w:rStyle w:val="FootnoteReference"/>
          <w:bCs/>
        </w:rPr>
        <w:footnoteReference w:id="16"/>
      </w:r>
      <w:r w:rsidR="00BC102C" w:rsidRPr="005825D4">
        <w:rPr>
          <w:bCs/>
        </w:rPr>
        <w:t xml:space="preserve"> As pointed out by Currie and De Waal, legal restrictions of speech falling within one of the three listed</w:t>
      </w:r>
      <w:r w:rsidR="00CB6878" w:rsidRPr="005825D4">
        <w:rPr>
          <w:bCs/>
        </w:rPr>
        <w:t xml:space="preserve"> </w:t>
      </w:r>
      <w:r w:rsidR="00DC1504" w:rsidRPr="005825D4">
        <w:rPr>
          <w:bCs/>
        </w:rPr>
        <w:t>categories</w:t>
      </w:r>
      <w:r w:rsidR="00BC102C" w:rsidRPr="005825D4">
        <w:rPr>
          <w:bCs/>
        </w:rPr>
        <w:t xml:space="preserve"> are not limitations of freedom of expression and will require no justification. </w:t>
      </w:r>
      <w:r w:rsidR="00BA50AD" w:rsidRPr="005825D4">
        <w:rPr>
          <w:bCs/>
        </w:rPr>
        <w:t>The manner in which hate speech regulation is to be tested for constitutionality is best illustrated by a decision of the</w:t>
      </w:r>
      <w:r w:rsidR="00FB0A3F" w:rsidRPr="005825D4">
        <w:rPr>
          <w:bCs/>
        </w:rPr>
        <w:t xml:space="preserve"> Constitutional C</w:t>
      </w:r>
      <w:r w:rsidR="00BA50AD" w:rsidRPr="005825D4">
        <w:rPr>
          <w:bCs/>
        </w:rPr>
        <w:t xml:space="preserve">ourt, a detailed discussion of which follows hereafter. It is a decision that is directly relevant and generally instructive. </w:t>
      </w:r>
    </w:p>
    <w:p w:rsidR="00BC102C" w:rsidRPr="005825D4" w:rsidRDefault="00BC102C" w:rsidP="00A722C4">
      <w:pPr>
        <w:spacing w:line="360" w:lineRule="auto"/>
        <w:rPr>
          <w:bCs/>
        </w:rPr>
      </w:pPr>
    </w:p>
    <w:p w:rsidR="00BA50AD" w:rsidRPr="005825D4" w:rsidRDefault="00BA50AD" w:rsidP="00A722C4">
      <w:pPr>
        <w:spacing w:line="360" w:lineRule="auto"/>
        <w:rPr>
          <w:b/>
          <w:bCs/>
        </w:rPr>
      </w:pPr>
      <w:r w:rsidRPr="005825D4">
        <w:rPr>
          <w:b/>
          <w:bCs/>
        </w:rPr>
        <w:t xml:space="preserve">The decision in </w:t>
      </w:r>
      <w:r w:rsidRPr="005825D4">
        <w:rPr>
          <w:b/>
          <w:bCs/>
          <w:i/>
        </w:rPr>
        <w:t>Islamic Unity Convention</w:t>
      </w:r>
      <w:r w:rsidRPr="005825D4">
        <w:rPr>
          <w:b/>
          <w:bCs/>
        </w:rPr>
        <w:t xml:space="preserve"> </w:t>
      </w:r>
    </w:p>
    <w:p w:rsidR="00BC102C" w:rsidRPr="005825D4" w:rsidRDefault="00BD7F48" w:rsidP="00A722C4">
      <w:pPr>
        <w:spacing w:line="360" w:lineRule="auto"/>
        <w:rPr>
          <w:bCs/>
        </w:rPr>
      </w:pPr>
      <w:r w:rsidRPr="005825D4">
        <w:rPr>
          <w:bCs/>
        </w:rPr>
        <w:t>[38</w:t>
      </w:r>
      <w:r w:rsidR="00BC102C" w:rsidRPr="005825D4">
        <w:rPr>
          <w:bCs/>
        </w:rPr>
        <w:t>]</w:t>
      </w:r>
      <w:r w:rsidR="00BC102C" w:rsidRPr="005825D4">
        <w:rPr>
          <w:bCs/>
        </w:rPr>
        <w:tab/>
        <w:t xml:space="preserve">In </w:t>
      </w:r>
      <w:r w:rsidR="00BA50AD" w:rsidRPr="005825D4">
        <w:rPr>
          <w:bCs/>
          <w:i/>
        </w:rPr>
        <w:t>Islamic Unity Convention v Independent Broadcasting Authority &amp; others</w:t>
      </w:r>
      <w:r w:rsidR="00DC1504" w:rsidRPr="005825D4">
        <w:rPr>
          <w:rStyle w:val="FootnoteReference"/>
          <w:bCs/>
        </w:rPr>
        <w:footnoteReference w:id="17"/>
      </w:r>
      <w:r w:rsidR="00FB0A3F" w:rsidRPr="005825D4">
        <w:rPr>
          <w:bCs/>
        </w:rPr>
        <w:t xml:space="preserve"> the Constitutional C</w:t>
      </w:r>
      <w:r w:rsidR="00B15E20" w:rsidRPr="005825D4">
        <w:rPr>
          <w:bCs/>
        </w:rPr>
        <w:t>ourt was called upon to adjudicate whether clause 2</w:t>
      </w:r>
      <w:r w:rsidR="00B15E20" w:rsidRPr="005825D4">
        <w:rPr>
          <w:bCs/>
          <w:i/>
        </w:rPr>
        <w:t xml:space="preserve">(a) </w:t>
      </w:r>
      <w:r w:rsidR="00B15E20" w:rsidRPr="005825D4">
        <w:rPr>
          <w:bCs/>
        </w:rPr>
        <w:t>of the Code of Conduct for Broadcasting Services (the Code)</w:t>
      </w:r>
      <w:r w:rsidR="00BE6F92" w:rsidRPr="005825D4">
        <w:rPr>
          <w:bCs/>
        </w:rPr>
        <w:t>,</w:t>
      </w:r>
      <w:r w:rsidR="00B15E20" w:rsidRPr="005825D4">
        <w:rPr>
          <w:bCs/>
        </w:rPr>
        <w:t xml:space="preserve"> </w:t>
      </w:r>
      <w:r w:rsidR="00CF7ECD" w:rsidRPr="005825D4">
        <w:rPr>
          <w:bCs/>
        </w:rPr>
        <w:t>contained in Schedule 1 to the Independent Broadcasting Authority Act 153 of 1993</w:t>
      </w:r>
      <w:r w:rsidR="00BE6F92" w:rsidRPr="005825D4">
        <w:rPr>
          <w:bCs/>
        </w:rPr>
        <w:t>,</w:t>
      </w:r>
      <w:r w:rsidR="00CF7ECD" w:rsidRPr="005825D4">
        <w:rPr>
          <w:bCs/>
        </w:rPr>
        <w:t xml:space="preserve"> passed constitutional muster. Clause 2</w:t>
      </w:r>
      <w:r w:rsidR="00CF7ECD" w:rsidRPr="005825D4">
        <w:rPr>
          <w:bCs/>
          <w:i/>
        </w:rPr>
        <w:t>(a)</w:t>
      </w:r>
      <w:r w:rsidR="00CF7ECD" w:rsidRPr="005825D4">
        <w:rPr>
          <w:bCs/>
        </w:rPr>
        <w:t xml:space="preserve"> of the Code provided:</w:t>
      </w:r>
    </w:p>
    <w:p w:rsidR="00CF7ECD" w:rsidRPr="005825D4" w:rsidRDefault="00CF7ECD" w:rsidP="00A722C4">
      <w:pPr>
        <w:spacing w:line="360" w:lineRule="auto"/>
        <w:rPr>
          <w:bCs/>
          <w:sz w:val="22"/>
        </w:rPr>
      </w:pPr>
      <w:r w:rsidRPr="005825D4">
        <w:rPr>
          <w:bCs/>
          <w:sz w:val="22"/>
        </w:rPr>
        <w:t xml:space="preserve">‘Broadcasting licensees shall . . . not broadcast any material which is indecent or obscene or offensive to public morals or offensive to the religious convictions or feelings of any section of a </w:t>
      </w:r>
      <w:r w:rsidRPr="005825D4">
        <w:rPr>
          <w:bCs/>
          <w:sz w:val="22"/>
        </w:rPr>
        <w:lastRenderedPageBreak/>
        <w:t>population or likely to prejudice the safety of the State or the public order or relations between sections of the population.’</w:t>
      </w:r>
    </w:p>
    <w:p w:rsidR="00CF7ECD" w:rsidRPr="005825D4" w:rsidRDefault="00CF7ECD" w:rsidP="00A722C4">
      <w:pPr>
        <w:spacing w:line="360" w:lineRule="auto"/>
        <w:rPr>
          <w:bCs/>
          <w:sz w:val="22"/>
        </w:rPr>
      </w:pPr>
    </w:p>
    <w:p w:rsidR="00D53DB1" w:rsidRPr="005825D4" w:rsidRDefault="00BD7F48" w:rsidP="00A722C4">
      <w:pPr>
        <w:spacing w:line="360" w:lineRule="auto"/>
        <w:rPr>
          <w:bCs/>
          <w:sz w:val="22"/>
        </w:rPr>
      </w:pPr>
      <w:r w:rsidRPr="005825D4">
        <w:rPr>
          <w:bCs/>
        </w:rPr>
        <w:t>[39</w:t>
      </w:r>
      <w:r w:rsidR="00CF7ECD" w:rsidRPr="005825D4">
        <w:rPr>
          <w:bCs/>
        </w:rPr>
        <w:t>]</w:t>
      </w:r>
      <w:r w:rsidR="00CF7ECD" w:rsidRPr="005825D4">
        <w:rPr>
          <w:bCs/>
        </w:rPr>
        <w:tab/>
      </w:r>
      <w:r w:rsidR="00FE6A19" w:rsidRPr="005825D4">
        <w:rPr>
          <w:bCs/>
        </w:rPr>
        <w:t>The</w:t>
      </w:r>
      <w:r w:rsidR="00CF7ECD" w:rsidRPr="005825D4">
        <w:rPr>
          <w:bCs/>
        </w:rPr>
        <w:t xml:space="preserve"> South African Jewish Board of Deputies had lodged a complaint with the Independent Broadcasting Authority about a radio programme broadcast by the applicant</w:t>
      </w:r>
      <w:r w:rsidR="00D53DB1" w:rsidRPr="005825D4">
        <w:rPr>
          <w:bCs/>
        </w:rPr>
        <w:t xml:space="preserve"> i</w:t>
      </w:r>
      <w:r w:rsidR="00CF7ECD" w:rsidRPr="005825D4">
        <w:rPr>
          <w:bCs/>
        </w:rPr>
        <w:t>n that case</w:t>
      </w:r>
      <w:r w:rsidR="00E476D4" w:rsidRPr="005825D4">
        <w:rPr>
          <w:bCs/>
        </w:rPr>
        <w:t>.</w:t>
      </w:r>
      <w:r w:rsidR="00CF7ECD" w:rsidRPr="005825D4">
        <w:rPr>
          <w:bCs/>
        </w:rPr>
        <w:t xml:space="preserve"> </w:t>
      </w:r>
      <w:r w:rsidR="00E476D4" w:rsidRPr="005825D4">
        <w:rPr>
          <w:bCs/>
        </w:rPr>
        <w:t>A</w:t>
      </w:r>
      <w:r w:rsidR="00CF7ECD" w:rsidRPr="005825D4">
        <w:rPr>
          <w:bCs/>
        </w:rPr>
        <w:t>n individual being interviewed</w:t>
      </w:r>
      <w:r w:rsidR="00D53DB1" w:rsidRPr="005825D4">
        <w:rPr>
          <w:bCs/>
        </w:rPr>
        <w:t xml:space="preserve"> by </w:t>
      </w:r>
      <w:r w:rsidR="00BE433A" w:rsidRPr="005825D4">
        <w:rPr>
          <w:bCs/>
        </w:rPr>
        <w:t>the</w:t>
      </w:r>
      <w:r w:rsidR="00D53DB1" w:rsidRPr="005825D4">
        <w:rPr>
          <w:bCs/>
        </w:rPr>
        <w:t xml:space="preserve"> radio station</w:t>
      </w:r>
      <w:r w:rsidR="00CF7ECD" w:rsidRPr="005825D4">
        <w:rPr>
          <w:bCs/>
        </w:rPr>
        <w:t>, amongst other</w:t>
      </w:r>
      <w:r w:rsidR="00697552" w:rsidRPr="005825D4">
        <w:rPr>
          <w:bCs/>
        </w:rPr>
        <w:t xml:space="preserve"> things</w:t>
      </w:r>
      <w:r w:rsidR="00CF7ECD" w:rsidRPr="005825D4">
        <w:rPr>
          <w:bCs/>
        </w:rPr>
        <w:t xml:space="preserve">, questioned the legitimacy of the State of Israel and Zionism as a political ideology, asserted that Jewish people </w:t>
      </w:r>
      <w:r w:rsidR="00A41D45" w:rsidRPr="005825D4">
        <w:rPr>
          <w:bCs/>
        </w:rPr>
        <w:t>had</w:t>
      </w:r>
      <w:r w:rsidR="00CF7ECD" w:rsidRPr="005825D4">
        <w:rPr>
          <w:bCs/>
        </w:rPr>
        <w:t xml:space="preserve"> not </w:t>
      </w:r>
      <w:r w:rsidR="00DC1504" w:rsidRPr="005825D4">
        <w:rPr>
          <w:bCs/>
        </w:rPr>
        <w:t xml:space="preserve">been </w:t>
      </w:r>
      <w:r w:rsidR="00CF7ECD" w:rsidRPr="005825D4">
        <w:rPr>
          <w:bCs/>
        </w:rPr>
        <w:t xml:space="preserve">gassed in concentration camps during the Second World War but </w:t>
      </w:r>
      <w:r w:rsidR="00A41D45" w:rsidRPr="005825D4">
        <w:rPr>
          <w:bCs/>
        </w:rPr>
        <w:t>had</w:t>
      </w:r>
      <w:r w:rsidR="00DC1504" w:rsidRPr="005825D4">
        <w:rPr>
          <w:bCs/>
        </w:rPr>
        <w:t>, instead,</w:t>
      </w:r>
      <w:r w:rsidR="00A41D45" w:rsidRPr="005825D4">
        <w:rPr>
          <w:bCs/>
        </w:rPr>
        <w:t xml:space="preserve"> </w:t>
      </w:r>
      <w:r w:rsidR="00CF7ECD" w:rsidRPr="005825D4">
        <w:rPr>
          <w:bCs/>
        </w:rPr>
        <w:t>died of infectious diseases, particularly typhus, and that only a m</w:t>
      </w:r>
      <w:r w:rsidR="00D53DB1" w:rsidRPr="005825D4">
        <w:rPr>
          <w:bCs/>
        </w:rPr>
        <w:t>illion Jews had died. In response to the complaint, the applicant a</w:t>
      </w:r>
      <w:r w:rsidR="00B978A4" w:rsidRPr="005825D4">
        <w:rPr>
          <w:bCs/>
        </w:rPr>
        <w:t>pplied for an order declaring s </w:t>
      </w:r>
      <w:r w:rsidR="00D53DB1" w:rsidRPr="005825D4">
        <w:rPr>
          <w:bCs/>
        </w:rPr>
        <w:t>2</w:t>
      </w:r>
      <w:r w:rsidR="00D53DB1" w:rsidRPr="005825D4">
        <w:rPr>
          <w:bCs/>
          <w:i/>
        </w:rPr>
        <w:t>(a)</w:t>
      </w:r>
      <w:r w:rsidR="00D53DB1" w:rsidRPr="005825D4">
        <w:rPr>
          <w:bCs/>
        </w:rPr>
        <w:t xml:space="preserve"> of the Code unconstitutional and therefore invalid</w:t>
      </w:r>
      <w:r w:rsidR="00904FA7" w:rsidRPr="005825D4">
        <w:rPr>
          <w:bCs/>
        </w:rPr>
        <w:t>,</w:t>
      </w:r>
      <w:r w:rsidR="00D53DB1" w:rsidRPr="005825D4">
        <w:rPr>
          <w:bCs/>
        </w:rPr>
        <w:t xml:space="preserve"> because of its inconsistency with the righ</w:t>
      </w:r>
      <w:r w:rsidR="00B978A4" w:rsidRPr="005825D4">
        <w:rPr>
          <w:bCs/>
        </w:rPr>
        <w:t>t to freedom of expression in s </w:t>
      </w:r>
      <w:r w:rsidR="00D53DB1" w:rsidRPr="005825D4">
        <w:rPr>
          <w:bCs/>
        </w:rPr>
        <w:t xml:space="preserve">16 of the Constitution. </w:t>
      </w:r>
    </w:p>
    <w:p w:rsidR="00523AD3" w:rsidRPr="005825D4" w:rsidRDefault="00523AD3" w:rsidP="00A722C4">
      <w:pPr>
        <w:spacing w:line="360" w:lineRule="auto"/>
        <w:rPr>
          <w:bCs/>
          <w:sz w:val="22"/>
        </w:rPr>
      </w:pPr>
    </w:p>
    <w:p w:rsidR="00D53DB1" w:rsidRPr="005825D4" w:rsidRDefault="00902D51" w:rsidP="00A722C4">
      <w:pPr>
        <w:spacing w:line="360" w:lineRule="auto"/>
        <w:rPr>
          <w:bCs/>
        </w:rPr>
      </w:pPr>
      <w:r w:rsidRPr="005825D4">
        <w:rPr>
          <w:bCs/>
        </w:rPr>
        <w:t>[4</w:t>
      </w:r>
      <w:r w:rsidR="00BD7F48" w:rsidRPr="005825D4">
        <w:rPr>
          <w:bCs/>
        </w:rPr>
        <w:t>0</w:t>
      </w:r>
      <w:r w:rsidR="00FB0A3F" w:rsidRPr="005825D4">
        <w:rPr>
          <w:bCs/>
        </w:rPr>
        <w:t>]</w:t>
      </w:r>
      <w:r w:rsidR="00FB0A3F" w:rsidRPr="005825D4">
        <w:rPr>
          <w:bCs/>
        </w:rPr>
        <w:tab/>
        <w:t>The Constitutional C</w:t>
      </w:r>
      <w:r w:rsidR="00DC1504" w:rsidRPr="005825D4">
        <w:rPr>
          <w:bCs/>
        </w:rPr>
        <w:t>ourt</w:t>
      </w:r>
      <w:r w:rsidR="00D53DB1" w:rsidRPr="005825D4">
        <w:rPr>
          <w:bCs/>
        </w:rPr>
        <w:t xml:space="preserve"> considered the </w:t>
      </w:r>
      <w:r w:rsidR="00DC1504" w:rsidRPr="005825D4">
        <w:rPr>
          <w:bCs/>
        </w:rPr>
        <w:t>applicant’s contention</w:t>
      </w:r>
      <w:r w:rsidR="00487EBA" w:rsidRPr="005825D4">
        <w:rPr>
          <w:bCs/>
        </w:rPr>
        <w:t>,</w:t>
      </w:r>
      <w:r w:rsidR="00D53DB1" w:rsidRPr="005825D4">
        <w:rPr>
          <w:bCs/>
        </w:rPr>
        <w:t xml:space="preserve"> that clause 2</w:t>
      </w:r>
      <w:r w:rsidR="00D53DB1" w:rsidRPr="005825D4">
        <w:rPr>
          <w:bCs/>
          <w:i/>
        </w:rPr>
        <w:t>(a)</w:t>
      </w:r>
      <w:r w:rsidR="00D53DB1" w:rsidRPr="005825D4">
        <w:rPr>
          <w:bCs/>
        </w:rPr>
        <w:t xml:space="preserve"> was unconstitutional, largely on the grounds of vagueness and </w:t>
      </w:r>
      <w:r w:rsidR="00D53DB1" w:rsidRPr="005825D4">
        <w:rPr>
          <w:bCs/>
          <w:lang w:val="en-ZA"/>
        </w:rPr>
        <w:t>overbreadth</w:t>
      </w:r>
      <w:r w:rsidR="00D53DB1" w:rsidRPr="005825D4">
        <w:rPr>
          <w:bCs/>
        </w:rPr>
        <w:t>.</w:t>
      </w:r>
      <w:r w:rsidR="000B0E07" w:rsidRPr="005825D4">
        <w:rPr>
          <w:bCs/>
        </w:rPr>
        <w:t xml:space="preserve"> In the final analysis t</w:t>
      </w:r>
      <w:r w:rsidR="00D53DB1" w:rsidRPr="005825D4">
        <w:rPr>
          <w:bCs/>
        </w:rPr>
        <w:t>he challenge was, however, restricted</w:t>
      </w:r>
      <w:r w:rsidR="005C6EA0" w:rsidRPr="005825D4">
        <w:rPr>
          <w:bCs/>
        </w:rPr>
        <w:t xml:space="preserve"> to</w:t>
      </w:r>
      <w:r w:rsidR="00D53DB1" w:rsidRPr="005825D4">
        <w:rPr>
          <w:bCs/>
        </w:rPr>
        <w:t xml:space="preserve"> </w:t>
      </w:r>
      <w:r w:rsidR="00DC1504" w:rsidRPr="005825D4">
        <w:rPr>
          <w:bCs/>
        </w:rPr>
        <w:t xml:space="preserve">that part </w:t>
      </w:r>
      <w:r w:rsidR="00BE433A" w:rsidRPr="005825D4">
        <w:rPr>
          <w:bCs/>
        </w:rPr>
        <w:t xml:space="preserve">of the clause </w:t>
      </w:r>
      <w:r w:rsidR="00DC1504" w:rsidRPr="005825D4">
        <w:rPr>
          <w:bCs/>
        </w:rPr>
        <w:t>w</w:t>
      </w:r>
      <w:r w:rsidR="00697552" w:rsidRPr="005825D4">
        <w:rPr>
          <w:bCs/>
        </w:rPr>
        <w:t>hich prohibited</w:t>
      </w:r>
      <w:r w:rsidR="00DC1504" w:rsidRPr="005825D4">
        <w:rPr>
          <w:bCs/>
        </w:rPr>
        <w:t xml:space="preserve"> material that is</w:t>
      </w:r>
      <w:r w:rsidR="00D53DB1" w:rsidRPr="005825D4">
        <w:rPr>
          <w:bCs/>
        </w:rPr>
        <w:t xml:space="preserve"> ‘likely to prejudice relations between se</w:t>
      </w:r>
      <w:r w:rsidR="00FB0A3F" w:rsidRPr="005825D4">
        <w:rPr>
          <w:bCs/>
        </w:rPr>
        <w:t>ctions of the population’. The C</w:t>
      </w:r>
      <w:r w:rsidR="007572D1" w:rsidRPr="005825D4">
        <w:rPr>
          <w:bCs/>
        </w:rPr>
        <w:t>onstituti</w:t>
      </w:r>
      <w:r w:rsidR="00FB0A3F" w:rsidRPr="005825D4">
        <w:rPr>
          <w:bCs/>
        </w:rPr>
        <w:t>onal C</w:t>
      </w:r>
      <w:r w:rsidR="00D53DB1" w:rsidRPr="005825D4">
        <w:rPr>
          <w:bCs/>
        </w:rPr>
        <w:t>ourt proceeded to</w:t>
      </w:r>
      <w:r w:rsidR="00E40E29" w:rsidRPr="005825D4">
        <w:rPr>
          <w:bCs/>
        </w:rPr>
        <w:t xml:space="preserve"> consider</w:t>
      </w:r>
      <w:r w:rsidR="00D53DB1" w:rsidRPr="005825D4">
        <w:rPr>
          <w:bCs/>
        </w:rPr>
        <w:t xml:space="preserve"> whether </w:t>
      </w:r>
      <w:r w:rsidR="00DC1504" w:rsidRPr="005825D4">
        <w:rPr>
          <w:bCs/>
        </w:rPr>
        <w:t>this</w:t>
      </w:r>
      <w:r w:rsidR="00D53DB1" w:rsidRPr="005825D4">
        <w:rPr>
          <w:bCs/>
        </w:rPr>
        <w:t xml:space="preserve"> was a constitutionally permissible limitation of the right to freedom of expression. </w:t>
      </w:r>
    </w:p>
    <w:p w:rsidR="00064D40" w:rsidRPr="005825D4" w:rsidRDefault="00064D40" w:rsidP="00A722C4">
      <w:pPr>
        <w:spacing w:line="360" w:lineRule="auto"/>
        <w:rPr>
          <w:bCs/>
        </w:rPr>
      </w:pPr>
    </w:p>
    <w:p w:rsidR="00064D40" w:rsidRPr="005825D4" w:rsidRDefault="00BD7F48" w:rsidP="00A722C4">
      <w:pPr>
        <w:spacing w:line="360" w:lineRule="auto"/>
        <w:rPr>
          <w:bCs/>
        </w:rPr>
      </w:pPr>
      <w:r w:rsidRPr="005825D4">
        <w:rPr>
          <w:bCs/>
        </w:rPr>
        <w:t>[41</w:t>
      </w:r>
      <w:r w:rsidR="00064D40" w:rsidRPr="005825D4">
        <w:rPr>
          <w:bCs/>
        </w:rPr>
        <w:t>]</w:t>
      </w:r>
      <w:r w:rsidR="00064D40" w:rsidRPr="005825D4">
        <w:rPr>
          <w:bCs/>
        </w:rPr>
        <w:tab/>
      </w:r>
      <w:r w:rsidR="00E40E29" w:rsidRPr="005825D4">
        <w:rPr>
          <w:bCs/>
        </w:rPr>
        <w:t xml:space="preserve">In </w:t>
      </w:r>
      <w:r w:rsidR="00FB0A3F" w:rsidRPr="005825D4">
        <w:rPr>
          <w:bCs/>
        </w:rPr>
        <w:t>addressing that question, the Constitutional C</w:t>
      </w:r>
      <w:r w:rsidR="007572D1" w:rsidRPr="005825D4">
        <w:rPr>
          <w:bCs/>
        </w:rPr>
        <w:t>ourt referred</w:t>
      </w:r>
      <w:r w:rsidR="00064D40" w:rsidRPr="005825D4">
        <w:rPr>
          <w:bCs/>
        </w:rPr>
        <w:t xml:space="preserve"> to the importance and relevance of freedom of ex</w:t>
      </w:r>
      <w:r w:rsidR="00523AD3" w:rsidRPr="005825D4">
        <w:rPr>
          <w:bCs/>
        </w:rPr>
        <w:t xml:space="preserve">pression in a democratic state. </w:t>
      </w:r>
      <w:r w:rsidR="003B5576" w:rsidRPr="005825D4">
        <w:rPr>
          <w:bCs/>
        </w:rPr>
        <w:t>The</w:t>
      </w:r>
      <w:r w:rsidR="00523AD3" w:rsidRPr="005825D4">
        <w:rPr>
          <w:bCs/>
        </w:rPr>
        <w:t xml:space="preserve"> court </w:t>
      </w:r>
      <w:r w:rsidR="00064D40" w:rsidRPr="005825D4">
        <w:rPr>
          <w:bCs/>
        </w:rPr>
        <w:t>referre</w:t>
      </w:r>
      <w:r w:rsidR="00DC1504" w:rsidRPr="005825D4">
        <w:rPr>
          <w:bCs/>
        </w:rPr>
        <w:t>d to two of its prior decisions.</w:t>
      </w:r>
      <w:r w:rsidR="00064D40" w:rsidRPr="005825D4">
        <w:rPr>
          <w:bCs/>
        </w:rPr>
        <w:t xml:space="preserve"> </w:t>
      </w:r>
      <w:r w:rsidR="00DC1504" w:rsidRPr="005825D4">
        <w:rPr>
          <w:bCs/>
        </w:rPr>
        <w:t>F</w:t>
      </w:r>
      <w:r w:rsidR="0008093B" w:rsidRPr="005825D4">
        <w:rPr>
          <w:bCs/>
        </w:rPr>
        <w:t>irst,</w:t>
      </w:r>
      <w:r w:rsidR="00064D40" w:rsidRPr="005825D4">
        <w:rPr>
          <w:bCs/>
        </w:rPr>
        <w:t xml:space="preserve"> </w:t>
      </w:r>
      <w:r w:rsidR="00235B16" w:rsidRPr="005825D4">
        <w:rPr>
          <w:bCs/>
          <w:i/>
        </w:rPr>
        <w:t>South African National Defence Union v Minister of Defence &amp; another</w:t>
      </w:r>
      <w:r w:rsidR="003D596C" w:rsidRPr="005825D4">
        <w:rPr>
          <w:rStyle w:val="FootnoteReference"/>
          <w:bCs/>
        </w:rPr>
        <w:footnoteReference w:id="18"/>
      </w:r>
      <w:r w:rsidR="00235B16" w:rsidRPr="005825D4">
        <w:rPr>
          <w:bCs/>
        </w:rPr>
        <w:t xml:space="preserve"> where, at para 8, the following was stated:</w:t>
      </w:r>
    </w:p>
    <w:p w:rsidR="00235B16" w:rsidRPr="005825D4" w:rsidRDefault="00235B16" w:rsidP="00A722C4">
      <w:pPr>
        <w:spacing w:line="360" w:lineRule="auto"/>
        <w:rPr>
          <w:bCs/>
          <w:sz w:val="22"/>
        </w:rPr>
      </w:pPr>
      <w:r w:rsidRPr="005825D4">
        <w:rPr>
          <w:bCs/>
          <w:sz w:val="22"/>
        </w:rPr>
        <w:t>‘</w:t>
      </w:r>
      <w:r w:rsidR="00CF0491" w:rsidRPr="005825D4">
        <w:rPr>
          <w:bCs/>
          <w:sz w:val="22"/>
        </w:rPr>
        <w:t>[F]</w:t>
      </w:r>
      <w:r w:rsidRPr="005825D4">
        <w:rPr>
          <w:bCs/>
          <w:sz w:val="22"/>
        </w:rPr>
        <w:t>reedom of expression is one of a “web of mutually supporting rights” in the Constitution. It is closely related to freedom of religion, belief and opinion (s 15), the right to dignity (s 10), as well as the right to freedom of association (s 18), the right to vote and to stand for public office (s 19), and the right to assembly (s 17) . . . The rights implicitly recognise the importance, both for a democratic society and for individuals personally, of the ability to form and express opinions, whether individually or collectively, even where those views are controversial.’</w:t>
      </w:r>
    </w:p>
    <w:p w:rsidR="0008093B" w:rsidRPr="005825D4" w:rsidRDefault="0008093B" w:rsidP="00A722C4">
      <w:pPr>
        <w:spacing w:line="360" w:lineRule="auto"/>
        <w:rPr>
          <w:bCs/>
        </w:rPr>
      </w:pPr>
      <w:r w:rsidRPr="005825D4">
        <w:rPr>
          <w:bCs/>
        </w:rPr>
        <w:t xml:space="preserve">And at para 7, where </w:t>
      </w:r>
      <w:r w:rsidR="00697552" w:rsidRPr="005825D4">
        <w:rPr>
          <w:bCs/>
        </w:rPr>
        <w:t>it pointed out that freedom of expression</w:t>
      </w:r>
      <w:r w:rsidRPr="005825D4">
        <w:rPr>
          <w:bCs/>
        </w:rPr>
        <w:t xml:space="preserve">: </w:t>
      </w:r>
    </w:p>
    <w:p w:rsidR="0008093B" w:rsidRPr="005825D4" w:rsidRDefault="00527A43" w:rsidP="00A722C4">
      <w:pPr>
        <w:spacing w:line="360" w:lineRule="auto"/>
        <w:rPr>
          <w:bCs/>
          <w:sz w:val="22"/>
        </w:rPr>
      </w:pPr>
      <w:r w:rsidRPr="005825D4">
        <w:rPr>
          <w:bCs/>
          <w:sz w:val="22"/>
        </w:rPr>
        <w:lastRenderedPageBreak/>
        <w:t>‘</w:t>
      </w:r>
      <w:r w:rsidR="00697552" w:rsidRPr="005825D4">
        <w:rPr>
          <w:bCs/>
          <w:sz w:val="22"/>
        </w:rPr>
        <w:t>. . .</w:t>
      </w:r>
      <w:r w:rsidR="0008093B" w:rsidRPr="005825D4">
        <w:rPr>
          <w:bCs/>
          <w:sz w:val="22"/>
        </w:rPr>
        <w:t xml:space="preserve"> lies at the heart of a democracy. It is valuable for many reasons, including its instrumental function as a guarantor of democracy, its implicit recognition and protection of the moral agency of individuals in our society and its facilitation of the search for truth by individuals and society generally. The Constitution recognises that individuals in our society need to be able to hear, form and express opinions and views freely on a wide range of matters.’</w:t>
      </w:r>
      <w:r w:rsidRPr="005825D4">
        <w:rPr>
          <w:bCs/>
          <w:sz w:val="22"/>
        </w:rPr>
        <w:t xml:space="preserve"> (Citations omitted.)</w:t>
      </w:r>
    </w:p>
    <w:p w:rsidR="0008093B" w:rsidRPr="005825D4" w:rsidRDefault="0008093B" w:rsidP="00A722C4">
      <w:pPr>
        <w:spacing w:line="360" w:lineRule="auto"/>
        <w:rPr>
          <w:bCs/>
        </w:rPr>
      </w:pPr>
      <w:r w:rsidRPr="005825D4">
        <w:rPr>
          <w:bCs/>
        </w:rPr>
        <w:t xml:space="preserve">Second, it referred to what was said in </w:t>
      </w:r>
      <w:r w:rsidRPr="005825D4">
        <w:rPr>
          <w:bCs/>
          <w:i/>
        </w:rPr>
        <w:t>S v Mamabolo</w:t>
      </w:r>
      <w:r w:rsidRPr="005825D4">
        <w:rPr>
          <w:bCs/>
        </w:rPr>
        <w:t xml:space="preserve"> </w:t>
      </w:r>
      <w:r w:rsidRPr="005825D4">
        <w:rPr>
          <w:bCs/>
          <w:i/>
        </w:rPr>
        <w:t>(E TV and others intervening)</w:t>
      </w:r>
      <w:r w:rsidR="001C5C67" w:rsidRPr="005825D4">
        <w:rPr>
          <w:bCs/>
        </w:rPr>
        <w:t>:</w:t>
      </w:r>
      <w:r w:rsidR="00527A43" w:rsidRPr="005825D4">
        <w:rPr>
          <w:rStyle w:val="FootnoteReference"/>
          <w:bCs/>
        </w:rPr>
        <w:footnoteReference w:id="19"/>
      </w:r>
    </w:p>
    <w:p w:rsidR="00AA5C7C" w:rsidRPr="005825D4" w:rsidRDefault="00AA5C7C" w:rsidP="00A722C4">
      <w:pPr>
        <w:spacing w:line="360" w:lineRule="auto"/>
        <w:rPr>
          <w:bCs/>
          <w:sz w:val="22"/>
        </w:rPr>
      </w:pPr>
      <w:r w:rsidRPr="005825D4">
        <w:rPr>
          <w:bCs/>
          <w:sz w:val="22"/>
        </w:rPr>
        <w:t>‘Freedom of expression, especially when gauged in conjunction with its accompanying fundamental freedoms, is of t</w:t>
      </w:r>
      <w:r w:rsidR="00E40E29" w:rsidRPr="005825D4">
        <w:rPr>
          <w:bCs/>
          <w:sz w:val="22"/>
        </w:rPr>
        <w:t>he utmost importance in the kind</w:t>
      </w:r>
      <w:r w:rsidRPr="005825D4">
        <w:rPr>
          <w:bCs/>
          <w:sz w:val="22"/>
        </w:rPr>
        <w:t xml:space="preserve"> of open and democratic society the Constitution has set as our aspirational norm. Having regard to our recent past of though</w:t>
      </w:r>
      <w:r w:rsidR="00527A43" w:rsidRPr="005825D4">
        <w:rPr>
          <w:bCs/>
          <w:sz w:val="22"/>
        </w:rPr>
        <w:t>t</w:t>
      </w:r>
      <w:r w:rsidRPr="005825D4">
        <w:rPr>
          <w:bCs/>
          <w:sz w:val="22"/>
        </w:rPr>
        <w:t xml:space="preserve"> control, censorship and enforced conformity to governmental theories, freedom of expression – the free and open exchange of ideas – is no less important than it is in the United State</w:t>
      </w:r>
      <w:r w:rsidR="00527A43" w:rsidRPr="005825D4">
        <w:rPr>
          <w:bCs/>
          <w:sz w:val="22"/>
        </w:rPr>
        <w:t>s</w:t>
      </w:r>
      <w:r w:rsidRPr="005825D4">
        <w:rPr>
          <w:bCs/>
          <w:sz w:val="22"/>
        </w:rPr>
        <w:t xml:space="preserve"> of America. It could actually be contended with much force that the public interest in the open market-place of ideas is all the more important to us in this country because our democracy is not yet firmly established and must fee</w:t>
      </w:r>
      <w:r w:rsidR="00E40E29" w:rsidRPr="005825D4">
        <w:rPr>
          <w:bCs/>
          <w:sz w:val="22"/>
        </w:rPr>
        <w:t>l</w:t>
      </w:r>
      <w:r w:rsidRPr="005825D4">
        <w:rPr>
          <w:bCs/>
          <w:sz w:val="22"/>
        </w:rPr>
        <w:t xml:space="preserve"> its way. Therefore we should be particularly astute to outlaw any form of thought control, however respectably dressed.’</w:t>
      </w:r>
    </w:p>
    <w:p w:rsidR="001C5C67" w:rsidRPr="005825D4" w:rsidRDefault="001C5C67" w:rsidP="00A722C4">
      <w:pPr>
        <w:spacing w:line="360" w:lineRule="auto"/>
        <w:rPr>
          <w:bCs/>
          <w:sz w:val="22"/>
        </w:rPr>
      </w:pPr>
    </w:p>
    <w:p w:rsidR="0008093B" w:rsidRPr="005825D4" w:rsidRDefault="00E476D4" w:rsidP="00A722C4">
      <w:pPr>
        <w:spacing w:line="360" w:lineRule="auto"/>
        <w:rPr>
          <w:bCs/>
        </w:rPr>
      </w:pPr>
      <w:r w:rsidRPr="005825D4">
        <w:rPr>
          <w:bCs/>
        </w:rPr>
        <w:t>[</w:t>
      </w:r>
      <w:r w:rsidR="00BD7F48" w:rsidRPr="005825D4">
        <w:rPr>
          <w:bCs/>
        </w:rPr>
        <w:t>42</w:t>
      </w:r>
      <w:r w:rsidR="0008093B" w:rsidRPr="005825D4">
        <w:rPr>
          <w:bCs/>
        </w:rPr>
        <w:t>]</w:t>
      </w:r>
      <w:r w:rsidR="0008093B" w:rsidRPr="005825D4">
        <w:rPr>
          <w:bCs/>
        </w:rPr>
        <w:tab/>
      </w:r>
      <w:r w:rsidR="00E40A88" w:rsidRPr="005825D4">
        <w:rPr>
          <w:bCs/>
        </w:rPr>
        <w:t>T</w:t>
      </w:r>
      <w:r w:rsidR="00FB0A3F" w:rsidRPr="005825D4">
        <w:rPr>
          <w:bCs/>
        </w:rPr>
        <w:t>he Constitutional C</w:t>
      </w:r>
      <w:r w:rsidR="003103D3" w:rsidRPr="005825D4">
        <w:rPr>
          <w:bCs/>
        </w:rPr>
        <w:t xml:space="preserve">ourt noted that South Africa was not alone in its recognition of the right to freedom of expression and its importance to a democratic society. It recorded that the right is protected in almost every international human rights instrument. In this regard it referred to what the European Court of Human Rights said in </w:t>
      </w:r>
      <w:r w:rsidR="003103D3" w:rsidRPr="005825D4">
        <w:rPr>
          <w:bCs/>
          <w:i/>
        </w:rPr>
        <w:t>Handyside v The United Kingdom</w:t>
      </w:r>
      <w:r w:rsidR="003103D3" w:rsidRPr="005825D4">
        <w:rPr>
          <w:bCs/>
        </w:rPr>
        <w:t>:</w:t>
      </w:r>
      <w:r w:rsidR="00527A43" w:rsidRPr="005825D4">
        <w:rPr>
          <w:rStyle w:val="FootnoteReference"/>
          <w:bCs/>
        </w:rPr>
        <w:footnoteReference w:id="20"/>
      </w:r>
    </w:p>
    <w:p w:rsidR="003103D3" w:rsidRPr="005825D4" w:rsidRDefault="003103D3" w:rsidP="00A722C4">
      <w:pPr>
        <w:spacing w:line="360" w:lineRule="auto"/>
        <w:rPr>
          <w:bCs/>
          <w:sz w:val="22"/>
        </w:rPr>
      </w:pPr>
      <w:r w:rsidRPr="005825D4">
        <w:rPr>
          <w:bCs/>
          <w:sz w:val="22"/>
        </w:rPr>
        <w:t>‘</w:t>
      </w:r>
      <w:r w:rsidR="00E40E29" w:rsidRPr="005825D4">
        <w:rPr>
          <w:bCs/>
          <w:sz w:val="22"/>
        </w:rPr>
        <w:t>[the right to freedom of expression is</w:t>
      </w:r>
      <w:r w:rsidR="00BA78BB" w:rsidRPr="005825D4">
        <w:rPr>
          <w:bCs/>
          <w:sz w:val="22"/>
        </w:rPr>
        <w:t xml:space="preserve">] </w:t>
      </w:r>
      <w:r w:rsidRPr="005825D4">
        <w:rPr>
          <w:bCs/>
          <w:sz w:val="22"/>
        </w:rPr>
        <w:t>applicable not only to “information” or “ideas” that are favourably received or regarded as inoffensive or as a matter of indifference, but also to those that offend, shock or disturb . . .</w:t>
      </w:r>
      <w:r w:rsidR="00527A43" w:rsidRPr="005825D4">
        <w:rPr>
          <w:bCs/>
          <w:sz w:val="22"/>
        </w:rPr>
        <w:t xml:space="preserve"> .</w:t>
      </w:r>
      <w:r w:rsidRPr="005825D4">
        <w:rPr>
          <w:bCs/>
          <w:sz w:val="22"/>
        </w:rPr>
        <w:t xml:space="preserve"> Such are the demands of that pluralism, tolerance and broadmindedness without which there is no “democratic society”.</w:t>
      </w:r>
      <w:r w:rsidR="00527A43" w:rsidRPr="005825D4">
        <w:rPr>
          <w:bCs/>
          <w:sz w:val="22"/>
        </w:rPr>
        <w:t>’</w:t>
      </w:r>
    </w:p>
    <w:p w:rsidR="00134E76" w:rsidRPr="005825D4" w:rsidRDefault="00134E76" w:rsidP="00A722C4">
      <w:pPr>
        <w:spacing w:line="360" w:lineRule="auto"/>
        <w:rPr>
          <w:bCs/>
        </w:rPr>
      </w:pPr>
    </w:p>
    <w:p w:rsidR="005D57F4" w:rsidRPr="005825D4" w:rsidRDefault="00BD7F48" w:rsidP="00A722C4">
      <w:pPr>
        <w:spacing w:line="360" w:lineRule="auto"/>
        <w:rPr>
          <w:bCs/>
        </w:rPr>
      </w:pPr>
      <w:r w:rsidRPr="005825D4">
        <w:rPr>
          <w:bCs/>
        </w:rPr>
        <w:t>[43</w:t>
      </w:r>
      <w:r w:rsidR="004453B4" w:rsidRPr="005825D4">
        <w:rPr>
          <w:bCs/>
        </w:rPr>
        <w:t>]</w:t>
      </w:r>
      <w:r w:rsidR="004453B4" w:rsidRPr="005825D4">
        <w:rPr>
          <w:bCs/>
        </w:rPr>
        <w:tab/>
      </w:r>
      <w:r w:rsidR="00511DCE" w:rsidRPr="005825D4">
        <w:rPr>
          <w:bCs/>
        </w:rPr>
        <w:t xml:space="preserve">The very next </w:t>
      </w:r>
      <w:r w:rsidR="00591CB1" w:rsidRPr="005825D4">
        <w:rPr>
          <w:bCs/>
        </w:rPr>
        <w:t xml:space="preserve">two </w:t>
      </w:r>
      <w:r w:rsidR="00511DCE" w:rsidRPr="005825D4">
        <w:rPr>
          <w:bCs/>
        </w:rPr>
        <w:t>paragraph</w:t>
      </w:r>
      <w:r w:rsidR="00591CB1" w:rsidRPr="005825D4">
        <w:rPr>
          <w:bCs/>
        </w:rPr>
        <w:t>s</w:t>
      </w:r>
      <w:r w:rsidR="00511DCE" w:rsidRPr="005825D4">
        <w:rPr>
          <w:bCs/>
        </w:rPr>
        <w:t xml:space="preserve"> deal with necessary limit</w:t>
      </w:r>
      <w:r w:rsidR="00527A43" w:rsidRPr="005825D4">
        <w:rPr>
          <w:bCs/>
        </w:rPr>
        <w:t>ations to freedom of expression</w:t>
      </w:r>
      <w:r w:rsidR="002E2FDF" w:rsidRPr="005825D4">
        <w:rPr>
          <w:bCs/>
        </w:rPr>
        <w:t>:</w:t>
      </w:r>
    </w:p>
    <w:p w:rsidR="002E2FDF" w:rsidRPr="005825D4" w:rsidRDefault="002E2FDF" w:rsidP="00A722C4">
      <w:pPr>
        <w:spacing w:line="360" w:lineRule="auto"/>
        <w:rPr>
          <w:bCs/>
          <w:sz w:val="22"/>
        </w:rPr>
      </w:pPr>
      <w:r w:rsidRPr="005825D4">
        <w:rPr>
          <w:bCs/>
          <w:sz w:val="22"/>
        </w:rPr>
        <w:lastRenderedPageBreak/>
        <w:t xml:space="preserve">‘The pluralism and broadmindedness that is central to an open and democratic society can, however, be undermined by speech which seriously threatens democratic pluralism itself. Section 1 of the Constitution declares that South Africa is founded on the values of “human dignity, the achievement of equality and the advancement of human rights and freedoms”. Thus, open and democratic societies permit </w:t>
      </w:r>
      <w:r w:rsidRPr="005825D4">
        <w:rPr>
          <w:bCs/>
          <w:i/>
          <w:sz w:val="22"/>
        </w:rPr>
        <w:t>reasonable proscription of activities and expressions that pose a real and substantial threat to such values and to the constitutional order itself</w:t>
      </w:r>
      <w:r w:rsidRPr="005825D4">
        <w:rPr>
          <w:bCs/>
          <w:sz w:val="22"/>
        </w:rPr>
        <w:t xml:space="preserve">. Many societies also accept limits on free speech in order to protect the fairness of trials. Speech of an </w:t>
      </w:r>
      <w:r w:rsidRPr="005825D4">
        <w:rPr>
          <w:bCs/>
          <w:i/>
          <w:sz w:val="22"/>
        </w:rPr>
        <w:t>inflammatory or unduly abusive kind</w:t>
      </w:r>
      <w:r w:rsidRPr="005825D4">
        <w:rPr>
          <w:bCs/>
          <w:sz w:val="22"/>
        </w:rPr>
        <w:t xml:space="preserve"> may be restricted so as to guarantee free and fair elections in a tranquil atmosphere. </w:t>
      </w:r>
    </w:p>
    <w:p w:rsidR="002E2FDF" w:rsidRPr="005825D4" w:rsidRDefault="002E2FDF" w:rsidP="00A722C4">
      <w:pPr>
        <w:spacing w:line="360" w:lineRule="auto"/>
        <w:rPr>
          <w:bCs/>
          <w:sz w:val="22"/>
        </w:rPr>
      </w:pPr>
      <w:r w:rsidRPr="005825D4">
        <w:rPr>
          <w:bCs/>
          <w:sz w:val="22"/>
        </w:rPr>
        <w:t>There is thus recognition of the potential that expression has to impair the exercise and enjoyment of other important rights, such as the righ</w:t>
      </w:r>
      <w:r w:rsidR="000F5A7E" w:rsidRPr="005825D4">
        <w:rPr>
          <w:bCs/>
          <w:sz w:val="22"/>
        </w:rPr>
        <w:t>t to dignity, as well as other s</w:t>
      </w:r>
      <w:r w:rsidRPr="005825D4">
        <w:rPr>
          <w:bCs/>
          <w:sz w:val="22"/>
        </w:rPr>
        <w:t xml:space="preserve">tate interests, such as the pursuit of national unity and reconciliation. The right is accordingly not absolute; it is, like other rights, subject to limitation under s 36(1) of the Constitution. Determining its parameters in any given case is therefore important, particularly where its exercise might intersect with other interests. Thus in </w:t>
      </w:r>
      <w:r w:rsidRPr="005825D4">
        <w:rPr>
          <w:bCs/>
          <w:i/>
          <w:sz w:val="22"/>
        </w:rPr>
        <w:t>Mamabolo</w:t>
      </w:r>
      <w:r w:rsidR="000F5A7E" w:rsidRPr="005825D4">
        <w:rPr>
          <w:bCs/>
          <w:sz w:val="22"/>
        </w:rPr>
        <w:t>,</w:t>
      </w:r>
      <w:r w:rsidRPr="005825D4">
        <w:rPr>
          <w:bCs/>
          <w:sz w:val="22"/>
        </w:rPr>
        <w:t xml:space="preserve"> the following was said in the context of the hierarchical relationship between the rights to dignity and freedom of expression:</w:t>
      </w:r>
    </w:p>
    <w:p w:rsidR="002E2FDF" w:rsidRPr="005825D4" w:rsidRDefault="002E2FDF" w:rsidP="00A722C4">
      <w:pPr>
        <w:spacing w:line="360" w:lineRule="auto"/>
        <w:rPr>
          <w:bCs/>
          <w:sz w:val="22"/>
        </w:rPr>
      </w:pPr>
      <w:r w:rsidRPr="005825D4">
        <w:rPr>
          <w:bCs/>
          <w:sz w:val="22"/>
        </w:rPr>
        <w:t>“With us the right to freedom of expression cannot be said automatically to trump the right to human dignity. The right to dignity is at least as worthy of protection as the right to freedom of expression. How these two rights are to be balanced, in principle and in any particular set of circumstances, is not a question that can or should be addressed here. What is clear though and must be stated, is that freedom of expression does not enjoy superior status in our law.”’</w:t>
      </w:r>
      <w:r w:rsidRPr="005825D4">
        <w:rPr>
          <w:rStyle w:val="FootnoteReference"/>
          <w:bCs/>
          <w:sz w:val="22"/>
        </w:rPr>
        <w:footnoteReference w:id="21"/>
      </w:r>
      <w:r w:rsidRPr="005825D4">
        <w:rPr>
          <w:bCs/>
          <w:sz w:val="22"/>
        </w:rPr>
        <w:t xml:space="preserve"> </w:t>
      </w:r>
    </w:p>
    <w:p w:rsidR="00C031DF" w:rsidRPr="005825D4" w:rsidRDefault="00C031DF" w:rsidP="00A722C4">
      <w:pPr>
        <w:spacing w:line="360" w:lineRule="auto"/>
        <w:rPr>
          <w:bCs/>
          <w:sz w:val="22"/>
        </w:rPr>
      </w:pPr>
    </w:p>
    <w:p w:rsidR="00C031DF" w:rsidRPr="005825D4" w:rsidRDefault="00BD7F48" w:rsidP="00A722C4">
      <w:pPr>
        <w:spacing w:line="360" w:lineRule="auto"/>
        <w:rPr>
          <w:bCs/>
        </w:rPr>
      </w:pPr>
      <w:r w:rsidRPr="005825D4">
        <w:rPr>
          <w:bCs/>
        </w:rPr>
        <w:t>[44</w:t>
      </w:r>
      <w:r w:rsidR="00C031DF" w:rsidRPr="005825D4">
        <w:rPr>
          <w:bCs/>
        </w:rPr>
        <w:t>]</w:t>
      </w:r>
      <w:r w:rsidR="00C031DF" w:rsidRPr="005825D4">
        <w:rPr>
          <w:bCs/>
        </w:rPr>
        <w:tab/>
      </w:r>
      <w:r w:rsidR="00FB0A3F" w:rsidRPr="005825D4">
        <w:rPr>
          <w:bCs/>
        </w:rPr>
        <w:t>The Constitutional C</w:t>
      </w:r>
      <w:r w:rsidR="003B5576" w:rsidRPr="005825D4">
        <w:rPr>
          <w:bCs/>
        </w:rPr>
        <w:t xml:space="preserve">ourt </w:t>
      </w:r>
      <w:r w:rsidR="00AD4C30" w:rsidRPr="005825D4">
        <w:rPr>
          <w:bCs/>
        </w:rPr>
        <w:t>analysed the two parts of s </w:t>
      </w:r>
      <w:r w:rsidR="00915B17" w:rsidRPr="005825D4">
        <w:rPr>
          <w:bCs/>
        </w:rPr>
        <w:t>16 of the Constitution and said the following:</w:t>
      </w:r>
    </w:p>
    <w:p w:rsidR="00915B17" w:rsidRPr="005825D4" w:rsidRDefault="00915B17" w:rsidP="00A722C4">
      <w:pPr>
        <w:spacing w:line="360" w:lineRule="auto"/>
        <w:rPr>
          <w:bCs/>
          <w:sz w:val="22"/>
        </w:rPr>
      </w:pPr>
      <w:r w:rsidRPr="005825D4">
        <w:rPr>
          <w:bCs/>
          <w:sz w:val="22"/>
        </w:rPr>
        <w:t>‘Subsection (1) is concerned with expression that is protected under the Constitution. It is clear that any limitation of this category of expression must satisfy the requirements of the limitations clause to be constitutionally valid. Subsection (2) deals with expression that is specifically excluded from the protection of the right.</w:t>
      </w:r>
    </w:p>
    <w:p w:rsidR="00915B17" w:rsidRPr="005825D4" w:rsidRDefault="00915B17" w:rsidP="00A722C4">
      <w:pPr>
        <w:spacing w:line="360" w:lineRule="auto"/>
        <w:rPr>
          <w:bCs/>
          <w:sz w:val="22"/>
        </w:rPr>
      </w:pPr>
      <w:r w:rsidRPr="005825D4">
        <w:rPr>
          <w:bCs/>
          <w:sz w:val="22"/>
        </w:rPr>
        <w:t xml:space="preserve">How is s 16(2) to be interpreted? The words “(t)he right in </w:t>
      </w:r>
      <w:r w:rsidR="000F5A7E" w:rsidRPr="005825D4">
        <w:rPr>
          <w:bCs/>
          <w:sz w:val="22"/>
        </w:rPr>
        <w:t>subsection</w:t>
      </w:r>
      <w:r w:rsidRPr="005825D4">
        <w:rPr>
          <w:bCs/>
          <w:sz w:val="22"/>
        </w:rPr>
        <w:t xml:space="preserve"> (1) does not extend to . . .” imply that the categories of expression enumerated in s 16(2) are not to be regarded as constitutionally protected speech. Section 16(2) therefore defines the boundaries beyond which the right to freedom of expression does not extend. In that sense, the subsection is definitional. Implicit in its provisions is an acknowledgement that certain expression does not deserve </w:t>
      </w:r>
      <w:r w:rsidRPr="005825D4">
        <w:rPr>
          <w:bCs/>
          <w:sz w:val="22"/>
        </w:rPr>
        <w:lastRenderedPageBreak/>
        <w:t>constitutional protection because, among other things, it has the potential to impinge adversely on the dignity of others and cause harm. Our Constitution is founded on the principles of dignity, equal worth and freedom, and these objectives should be given effect to.’</w:t>
      </w:r>
      <w:r w:rsidRPr="005825D4">
        <w:rPr>
          <w:rStyle w:val="FootnoteReference"/>
          <w:bCs/>
          <w:sz w:val="22"/>
        </w:rPr>
        <w:footnoteReference w:id="22"/>
      </w:r>
    </w:p>
    <w:p w:rsidR="00C031DF" w:rsidRPr="005825D4" w:rsidRDefault="00C031DF" w:rsidP="00A722C4">
      <w:pPr>
        <w:spacing w:line="360" w:lineRule="auto"/>
        <w:rPr>
          <w:bCs/>
          <w:sz w:val="22"/>
        </w:rPr>
      </w:pPr>
    </w:p>
    <w:p w:rsidR="00915B17" w:rsidRPr="005825D4" w:rsidRDefault="00BD7F48" w:rsidP="00A722C4">
      <w:pPr>
        <w:spacing w:line="360" w:lineRule="auto"/>
        <w:rPr>
          <w:bCs/>
        </w:rPr>
      </w:pPr>
      <w:r w:rsidRPr="005825D4">
        <w:rPr>
          <w:bCs/>
        </w:rPr>
        <w:t>[45</w:t>
      </w:r>
      <w:r w:rsidR="00915B17" w:rsidRPr="005825D4">
        <w:rPr>
          <w:bCs/>
        </w:rPr>
        <w:t>]</w:t>
      </w:r>
      <w:r w:rsidR="00915B17" w:rsidRPr="005825D4">
        <w:rPr>
          <w:bCs/>
        </w:rPr>
        <w:tab/>
      </w:r>
      <w:r w:rsidR="00E40E29" w:rsidRPr="005825D4">
        <w:rPr>
          <w:bCs/>
        </w:rPr>
        <w:t>T</w:t>
      </w:r>
      <w:r w:rsidR="001D2D30" w:rsidRPr="005825D4">
        <w:rPr>
          <w:bCs/>
        </w:rPr>
        <w:t xml:space="preserve">he following dicta in paras 33 and 34 </w:t>
      </w:r>
      <w:r w:rsidR="00E40E29" w:rsidRPr="005825D4">
        <w:rPr>
          <w:bCs/>
        </w:rPr>
        <w:t>are</w:t>
      </w:r>
      <w:r w:rsidR="001D2D30" w:rsidRPr="005825D4">
        <w:rPr>
          <w:bCs/>
        </w:rPr>
        <w:t xml:space="preserve"> particularly important:</w:t>
      </w:r>
    </w:p>
    <w:p w:rsidR="001D2D30" w:rsidRPr="005825D4" w:rsidRDefault="001D2D30" w:rsidP="00A722C4">
      <w:pPr>
        <w:spacing w:line="360" w:lineRule="auto"/>
        <w:rPr>
          <w:bCs/>
          <w:sz w:val="22"/>
        </w:rPr>
      </w:pPr>
      <w:r w:rsidRPr="005825D4">
        <w:rPr>
          <w:bCs/>
          <w:sz w:val="22"/>
        </w:rPr>
        <w:t>‘Section 16(2)</w:t>
      </w:r>
      <w:r w:rsidRPr="005825D4">
        <w:rPr>
          <w:bCs/>
          <w:i/>
          <w:sz w:val="22"/>
        </w:rPr>
        <w:t xml:space="preserve">(c) </w:t>
      </w:r>
      <w:r w:rsidRPr="005825D4">
        <w:rPr>
          <w:bCs/>
          <w:sz w:val="22"/>
        </w:rPr>
        <w:t>is directed at what is commonly referred to as hate speech. What is not protected by the Constitution is expression or speech that amount</w:t>
      </w:r>
      <w:r w:rsidR="00E40A88" w:rsidRPr="005825D4">
        <w:rPr>
          <w:bCs/>
          <w:sz w:val="22"/>
        </w:rPr>
        <w:t>s</w:t>
      </w:r>
      <w:r w:rsidRPr="005825D4">
        <w:rPr>
          <w:bCs/>
          <w:sz w:val="22"/>
        </w:rPr>
        <w:t xml:space="preserve"> to “advocacy of hatred” that is based on one or other of the listed grounds, namely, race, ethnicity, gender or religion and which amounts to “incitement to cause har</w:t>
      </w:r>
      <w:r w:rsidR="00EF3B85" w:rsidRPr="005825D4">
        <w:rPr>
          <w:bCs/>
          <w:sz w:val="22"/>
        </w:rPr>
        <w:t>m”. There is no doubt that the s</w:t>
      </w:r>
      <w:r w:rsidRPr="005825D4">
        <w:rPr>
          <w:bCs/>
          <w:sz w:val="22"/>
        </w:rPr>
        <w:t>tate has a particular interest in regulating this type of expression because of the harm it may pose to the constitutionally mandated objective of building the non-racial and non-sexist society based on human dignity and the achievement of equality. There is accordingly no bar to the enactment of legislation that prohibits such expression. Any regulation of expression that falls within the categories enumerated in s 16(2) would not be a limitation of the right in s 16.</w:t>
      </w:r>
    </w:p>
    <w:p w:rsidR="001D2D30" w:rsidRPr="005825D4" w:rsidRDefault="001D2D30" w:rsidP="00A722C4">
      <w:pPr>
        <w:spacing w:line="360" w:lineRule="auto"/>
        <w:rPr>
          <w:bCs/>
          <w:sz w:val="22"/>
        </w:rPr>
      </w:pPr>
      <w:r w:rsidRPr="005825D4">
        <w:rPr>
          <w:bCs/>
          <w:sz w:val="22"/>
        </w:rPr>
        <w:t>Where the State extends the scope of regulation beyond expression envisaged in s 16(2), it encroaches on the terrain of protected expression and can do so only if such regulation meets the justification criteria in s 36(1) of the Constitution.’</w:t>
      </w:r>
    </w:p>
    <w:p w:rsidR="007E2459" w:rsidRPr="005825D4" w:rsidRDefault="007E2459" w:rsidP="00A722C4">
      <w:pPr>
        <w:spacing w:line="360" w:lineRule="auto"/>
        <w:rPr>
          <w:bCs/>
          <w:sz w:val="22"/>
        </w:rPr>
      </w:pPr>
    </w:p>
    <w:p w:rsidR="007E2459" w:rsidRPr="005825D4" w:rsidRDefault="00BD7F48" w:rsidP="00A722C4">
      <w:pPr>
        <w:spacing w:line="360" w:lineRule="auto"/>
        <w:rPr>
          <w:bCs/>
        </w:rPr>
      </w:pPr>
      <w:r w:rsidRPr="005825D4">
        <w:rPr>
          <w:bCs/>
        </w:rPr>
        <w:t>[46</w:t>
      </w:r>
      <w:r w:rsidR="007E2459" w:rsidRPr="005825D4">
        <w:rPr>
          <w:bCs/>
        </w:rPr>
        <w:t>]</w:t>
      </w:r>
      <w:r w:rsidR="007E2459" w:rsidRPr="005825D4">
        <w:rPr>
          <w:bCs/>
        </w:rPr>
        <w:tab/>
        <w:t xml:space="preserve">In dealing with the regulation </w:t>
      </w:r>
      <w:r w:rsidR="00132F1D" w:rsidRPr="005825D4">
        <w:rPr>
          <w:bCs/>
        </w:rPr>
        <w:t>of hate speech</w:t>
      </w:r>
      <w:r w:rsidR="00794654" w:rsidRPr="005825D4">
        <w:rPr>
          <w:bCs/>
        </w:rPr>
        <w:t xml:space="preserve"> by </w:t>
      </w:r>
      <w:r w:rsidR="007E2459" w:rsidRPr="005825D4">
        <w:rPr>
          <w:bCs/>
        </w:rPr>
        <w:t xml:space="preserve">the respondent in </w:t>
      </w:r>
      <w:r w:rsidR="007E2459" w:rsidRPr="005825D4">
        <w:rPr>
          <w:bCs/>
          <w:i/>
        </w:rPr>
        <w:t>Islamic Unity</w:t>
      </w:r>
      <w:r w:rsidR="00794654" w:rsidRPr="005825D4">
        <w:rPr>
          <w:bCs/>
        </w:rPr>
        <w:t>,</w:t>
      </w:r>
      <w:r w:rsidR="007E2459" w:rsidRPr="005825D4">
        <w:rPr>
          <w:bCs/>
        </w:rPr>
        <w:t xml:space="preserve"> by way of clause 2</w:t>
      </w:r>
      <w:r w:rsidR="007E2459" w:rsidRPr="005825D4">
        <w:rPr>
          <w:bCs/>
          <w:i/>
        </w:rPr>
        <w:t>(a)</w:t>
      </w:r>
      <w:r w:rsidR="00FB0A3F" w:rsidRPr="005825D4">
        <w:rPr>
          <w:bCs/>
        </w:rPr>
        <w:t xml:space="preserve"> of the Code, the Constitutional C</w:t>
      </w:r>
      <w:r w:rsidR="007E2459" w:rsidRPr="005825D4">
        <w:rPr>
          <w:bCs/>
        </w:rPr>
        <w:t>ourt took into account that the respondent’s responsibility for the regulation of broadcasting in South Africa was founded in s 192 of the Constitution.</w:t>
      </w:r>
      <w:r w:rsidR="007E2459" w:rsidRPr="005825D4">
        <w:rPr>
          <w:rStyle w:val="FootnoteReference"/>
          <w:bCs/>
        </w:rPr>
        <w:footnoteReference w:id="23"/>
      </w:r>
      <w:r w:rsidR="007E2459" w:rsidRPr="005825D4">
        <w:rPr>
          <w:bCs/>
        </w:rPr>
        <w:t xml:space="preserve"> However, in fulfilling that function, the broadcasting authority was bound to respect the provisions of the B</w:t>
      </w:r>
      <w:r w:rsidR="00132F1D" w:rsidRPr="005825D4">
        <w:rPr>
          <w:bCs/>
        </w:rPr>
        <w:t>ill of Rights. At para 37, the C</w:t>
      </w:r>
      <w:r w:rsidR="007E2459" w:rsidRPr="005825D4">
        <w:rPr>
          <w:bCs/>
        </w:rPr>
        <w:t>ourt said the following:</w:t>
      </w:r>
    </w:p>
    <w:p w:rsidR="007E2459" w:rsidRPr="005825D4" w:rsidRDefault="007E2459" w:rsidP="00A722C4">
      <w:pPr>
        <w:spacing w:line="360" w:lineRule="auto"/>
        <w:rPr>
          <w:bCs/>
          <w:sz w:val="22"/>
        </w:rPr>
      </w:pPr>
      <w:r w:rsidRPr="005825D4">
        <w:rPr>
          <w:bCs/>
          <w:sz w:val="22"/>
        </w:rPr>
        <w:t>‘In the context of broadcasting, freedom of expression</w:t>
      </w:r>
      <w:r w:rsidR="00591CB1" w:rsidRPr="005825D4">
        <w:rPr>
          <w:bCs/>
          <w:sz w:val="22"/>
        </w:rPr>
        <w:t xml:space="preserve"> will have</w:t>
      </w:r>
      <w:r w:rsidRPr="005825D4">
        <w:rPr>
          <w:bCs/>
          <w:sz w:val="22"/>
        </w:rPr>
        <w:t xml:space="preserve"> special relevance. It is in the public interest that people be free to speak their minds openly and robustly, and, in turn, to receive information, views and ideas. It is also in the public interest that reasonable limitations be applied, provided that they are consistent with the Constitution.’</w:t>
      </w:r>
    </w:p>
    <w:p w:rsidR="00C74398" w:rsidRPr="005825D4" w:rsidRDefault="00C74398" w:rsidP="00A722C4">
      <w:pPr>
        <w:spacing w:line="360" w:lineRule="auto"/>
        <w:rPr>
          <w:bCs/>
        </w:rPr>
      </w:pPr>
    </w:p>
    <w:p w:rsidR="00C74398" w:rsidRPr="005825D4" w:rsidRDefault="00BD7F48" w:rsidP="00A722C4">
      <w:pPr>
        <w:spacing w:line="360" w:lineRule="auto"/>
        <w:rPr>
          <w:bCs/>
        </w:rPr>
      </w:pPr>
      <w:r w:rsidRPr="005825D4">
        <w:rPr>
          <w:bCs/>
        </w:rPr>
        <w:lastRenderedPageBreak/>
        <w:t>[47</w:t>
      </w:r>
      <w:r w:rsidR="00C74398" w:rsidRPr="005825D4">
        <w:rPr>
          <w:bCs/>
        </w:rPr>
        <w:t>]</w:t>
      </w:r>
      <w:r w:rsidR="00C74398" w:rsidRPr="005825D4">
        <w:rPr>
          <w:bCs/>
        </w:rPr>
        <w:tab/>
        <w:t>As in the present case, clause 2</w:t>
      </w:r>
      <w:r w:rsidR="00C74398" w:rsidRPr="005825D4">
        <w:rPr>
          <w:bCs/>
          <w:i/>
        </w:rPr>
        <w:t>(a)</w:t>
      </w:r>
      <w:r w:rsidR="00C74398" w:rsidRPr="005825D4">
        <w:rPr>
          <w:bCs/>
        </w:rPr>
        <w:t xml:space="preserve"> of the Code in </w:t>
      </w:r>
      <w:r w:rsidR="00C74398" w:rsidRPr="005825D4">
        <w:rPr>
          <w:bCs/>
          <w:i/>
        </w:rPr>
        <w:t>Islamic Unity</w:t>
      </w:r>
      <w:r w:rsidR="00C74398" w:rsidRPr="005825D4">
        <w:rPr>
          <w:bCs/>
        </w:rPr>
        <w:t>, as stated above</w:t>
      </w:r>
      <w:r w:rsidR="00AE56A7" w:rsidRPr="005825D4">
        <w:rPr>
          <w:bCs/>
        </w:rPr>
        <w:t>,</w:t>
      </w:r>
      <w:r w:rsidR="00C74398" w:rsidRPr="005825D4">
        <w:rPr>
          <w:bCs/>
        </w:rPr>
        <w:t xml:space="preserve"> was attacked on the basis of </w:t>
      </w:r>
      <w:r w:rsidR="00FB0A3F" w:rsidRPr="005825D4">
        <w:rPr>
          <w:bCs/>
        </w:rPr>
        <w:t>vagueness and overbreadth. The Constitutional C</w:t>
      </w:r>
      <w:r w:rsidR="00C74398" w:rsidRPr="005825D4">
        <w:rPr>
          <w:bCs/>
        </w:rPr>
        <w:t>ourt held that the prohibition in that case, self-evidently limited the right to freedom of expression as provided for in s 1</w:t>
      </w:r>
      <w:r w:rsidR="009E47C6" w:rsidRPr="005825D4">
        <w:rPr>
          <w:bCs/>
        </w:rPr>
        <w:t>6(1</w:t>
      </w:r>
      <w:r w:rsidR="00C74398" w:rsidRPr="005825D4">
        <w:rPr>
          <w:bCs/>
        </w:rPr>
        <w:t>) of the Constitution.</w:t>
      </w:r>
      <w:r w:rsidR="00C74398" w:rsidRPr="005825D4">
        <w:rPr>
          <w:rStyle w:val="FootnoteReference"/>
          <w:bCs/>
        </w:rPr>
        <w:footnoteReference w:id="24"/>
      </w:r>
      <w:r w:rsidR="00C74398" w:rsidRPr="005825D4">
        <w:rPr>
          <w:bCs/>
        </w:rPr>
        <w:t xml:space="preserve"> It found that the phrase ‘section of the population’ </w:t>
      </w:r>
      <w:r w:rsidR="000B0E07" w:rsidRPr="005825D4">
        <w:rPr>
          <w:bCs/>
        </w:rPr>
        <w:t>in the relevant part of clause 2</w:t>
      </w:r>
      <w:r w:rsidR="000B0E07" w:rsidRPr="005825D4">
        <w:rPr>
          <w:bCs/>
          <w:i/>
        </w:rPr>
        <w:t>(a)</w:t>
      </w:r>
      <w:r w:rsidR="000B0E07" w:rsidRPr="005825D4">
        <w:rPr>
          <w:bCs/>
        </w:rPr>
        <w:t xml:space="preserve"> of the Code </w:t>
      </w:r>
      <w:r w:rsidR="00C74398" w:rsidRPr="005825D4">
        <w:rPr>
          <w:bCs/>
        </w:rPr>
        <w:t>was less specific than ‘race, ethnicity, gender</w:t>
      </w:r>
      <w:r w:rsidR="00B978A4" w:rsidRPr="005825D4">
        <w:rPr>
          <w:bCs/>
        </w:rPr>
        <w:t xml:space="preserve"> or religion’ as spelt out in s </w:t>
      </w:r>
      <w:r w:rsidR="00C74398" w:rsidRPr="005825D4">
        <w:rPr>
          <w:bCs/>
        </w:rPr>
        <w:t>16(2)</w:t>
      </w:r>
      <w:r w:rsidR="00C74398" w:rsidRPr="005825D4">
        <w:rPr>
          <w:bCs/>
          <w:i/>
        </w:rPr>
        <w:t>(c)</w:t>
      </w:r>
      <w:r w:rsidR="00C74398" w:rsidRPr="005825D4">
        <w:rPr>
          <w:bCs/>
        </w:rPr>
        <w:t xml:space="preserve"> and, therefore, travelled beyond the enumerated categories of </w:t>
      </w:r>
      <w:r w:rsidR="00EF3B85" w:rsidRPr="005825D4">
        <w:rPr>
          <w:bCs/>
        </w:rPr>
        <w:t xml:space="preserve">unprotected </w:t>
      </w:r>
      <w:r w:rsidR="00C74398" w:rsidRPr="005825D4">
        <w:rPr>
          <w:bCs/>
        </w:rPr>
        <w:t>expression. Furthermore, it did not require that what was prohibited should amount to advocacy of hatred</w:t>
      </w:r>
      <w:r w:rsidR="00132F1D" w:rsidRPr="005825D4">
        <w:rPr>
          <w:bCs/>
        </w:rPr>
        <w:t>,</w:t>
      </w:r>
      <w:r w:rsidR="00C74398" w:rsidRPr="005825D4">
        <w:rPr>
          <w:bCs/>
        </w:rPr>
        <w:t xml:space="preserve"> ‘least of all hatred based on race, ethnicity, gender or religion’. It also did not require that it should have any ‘potential to cause harm’.</w:t>
      </w:r>
      <w:r w:rsidR="00FF0D35" w:rsidRPr="005825D4">
        <w:rPr>
          <w:rStyle w:val="FootnoteReference"/>
          <w:bCs/>
        </w:rPr>
        <w:footnoteReference w:id="25"/>
      </w:r>
      <w:r w:rsidR="004009D4" w:rsidRPr="005825D4">
        <w:rPr>
          <w:bCs/>
        </w:rPr>
        <w:t xml:space="preserve"> </w:t>
      </w:r>
      <w:r w:rsidR="00D77C73" w:rsidRPr="005825D4">
        <w:rPr>
          <w:bCs/>
        </w:rPr>
        <w:t>T</w:t>
      </w:r>
      <w:r w:rsidR="00FB0A3F" w:rsidRPr="005825D4">
        <w:rPr>
          <w:bCs/>
        </w:rPr>
        <w:t>he Constitutional C</w:t>
      </w:r>
      <w:r w:rsidR="004009D4" w:rsidRPr="005825D4">
        <w:rPr>
          <w:bCs/>
        </w:rPr>
        <w:t xml:space="preserve">ourt pointed out that whilst each of the </w:t>
      </w:r>
      <w:r w:rsidR="00B978A4" w:rsidRPr="005825D4">
        <w:rPr>
          <w:bCs/>
        </w:rPr>
        <w:t>forms of expression listed in s </w:t>
      </w:r>
      <w:r w:rsidR="004009D4" w:rsidRPr="005825D4">
        <w:rPr>
          <w:bCs/>
        </w:rPr>
        <w:t>16(2) of the Constitution would be ‘likely to prejudice relations between sections of the population’, as set out in the relevant part of the Code, the converse was not true</w:t>
      </w:r>
      <w:r w:rsidR="009E47C6" w:rsidRPr="005825D4">
        <w:rPr>
          <w:bCs/>
        </w:rPr>
        <w:t>.</w:t>
      </w:r>
      <w:r w:rsidR="004009D4" w:rsidRPr="005825D4">
        <w:rPr>
          <w:bCs/>
        </w:rPr>
        <w:t xml:space="preserve"> </w:t>
      </w:r>
      <w:r w:rsidR="009E47C6" w:rsidRPr="005825D4">
        <w:rPr>
          <w:bCs/>
        </w:rPr>
        <w:t>N</w:t>
      </w:r>
      <w:r w:rsidR="004009D4" w:rsidRPr="005825D4">
        <w:rPr>
          <w:bCs/>
        </w:rPr>
        <w:t>ot every expression of speech that is likely</w:t>
      </w:r>
      <w:r w:rsidR="000B0E07" w:rsidRPr="005825D4">
        <w:rPr>
          <w:bCs/>
        </w:rPr>
        <w:t xml:space="preserve"> to</w:t>
      </w:r>
      <w:r w:rsidR="004009D4" w:rsidRPr="005825D4">
        <w:rPr>
          <w:bCs/>
        </w:rPr>
        <w:t xml:space="preserve"> prejudice relations between sections of the population would be ‘propaganda for war’, or ‘incitement of imminent violence’ or ‘advocacy of hatred’</w:t>
      </w:r>
      <w:r w:rsidR="007D3ACD" w:rsidRPr="005825D4">
        <w:rPr>
          <w:bCs/>
        </w:rPr>
        <w:t xml:space="preserve"> which also constitutes ‘incitement to cause harm’</w:t>
      </w:r>
      <w:r w:rsidR="000B0E07" w:rsidRPr="005825D4">
        <w:rPr>
          <w:bCs/>
        </w:rPr>
        <w:t>.</w:t>
      </w:r>
      <w:r w:rsidR="00FB0A3F" w:rsidRPr="005825D4">
        <w:rPr>
          <w:bCs/>
        </w:rPr>
        <w:t xml:space="preserve"> The Constitutional C</w:t>
      </w:r>
      <w:r w:rsidR="004009D4" w:rsidRPr="005825D4">
        <w:rPr>
          <w:bCs/>
        </w:rPr>
        <w:t>ourt noted that there might well be instances where the prohibition there in question coincid</w:t>
      </w:r>
      <w:r w:rsidR="000B0E07" w:rsidRPr="005825D4">
        <w:rPr>
          <w:bCs/>
        </w:rPr>
        <w:t>ed</w:t>
      </w:r>
      <w:r w:rsidR="004009D4" w:rsidRPr="005825D4">
        <w:rPr>
          <w:bCs/>
        </w:rPr>
        <w:t xml:space="preserve"> with what is excluded from the protection of the right. </w:t>
      </w:r>
      <w:r w:rsidR="000D04FC" w:rsidRPr="005825D4">
        <w:rPr>
          <w:bCs/>
        </w:rPr>
        <w:t xml:space="preserve">The </w:t>
      </w:r>
      <w:r w:rsidR="00FB0A3F" w:rsidRPr="005825D4">
        <w:rPr>
          <w:bCs/>
        </w:rPr>
        <w:t>Constitutional C</w:t>
      </w:r>
      <w:r w:rsidR="000D04FC" w:rsidRPr="005825D4">
        <w:rPr>
          <w:bCs/>
        </w:rPr>
        <w:t>ourt posed the question to be addressed in that case: ‘whether the clause, in prohibiting that which is not ex</w:t>
      </w:r>
      <w:r w:rsidR="00B978A4" w:rsidRPr="005825D4">
        <w:rPr>
          <w:bCs/>
        </w:rPr>
        <w:t>cluded from the protection of s </w:t>
      </w:r>
      <w:r w:rsidR="000D04FC" w:rsidRPr="005825D4">
        <w:rPr>
          <w:bCs/>
        </w:rPr>
        <w:t>16(1), does so in a manner which is constitutionally impermissible</w:t>
      </w:r>
      <w:r w:rsidR="00EF3B85" w:rsidRPr="005825D4">
        <w:rPr>
          <w:bCs/>
        </w:rPr>
        <w:t>’</w:t>
      </w:r>
      <w:r w:rsidR="000D04FC" w:rsidRPr="005825D4">
        <w:rPr>
          <w:bCs/>
        </w:rPr>
        <w:t xml:space="preserve">. </w:t>
      </w:r>
      <w:r w:rsidR="000B0E07" w:rsidRPr="005825D4">
        <w:rPr>
          <w:bCs/>
        </w:rPr>
        <w:t>To answer that question, it</w:t>
      </w:r>
      <w:r w:rsidR="001806BC" w:rsidRPr="005825D4">
        <w:rPr>
          <w:bCs/>
        </w:rPr>
        <w:t xml:space="preserve"> turned </w:t>
      </w:r>
      <w:r w:rsidR="00E12729" w:rsidRPr="005825D4">
        <w:rPr>
          <w:bCs/>
        </w:rPr>
        <w:t xml:space="preserve">its attention </w:t>
      </w:r>
      <w:r w:rsidR="001806BC" w:rsidRPr="005825D4">
        <w:rPr>
          <w:bCs/>
        </w:rPr>
        <w:t>to the just</w:t>
      </w:r>
      <w:r w:rsidR="00B978A4" w:rsidRPr="005825D4">
        <w:rPr>
          <w:bCs/>
        </w:rPr>
        <w:t>ification enquiry in terms of s </w:t>
      </w:r>
      <w:r w:rsidR="001806BC" w:rsidRPr="005825D4">
        <w:rPr>
          <w:bCs/>
        </w:rPr>
        <w:t>36(1) of the Constitution.</w:t>
      </w:r>
      <w:r w:rsidR="00804C90" w:rsidRPr="005825D4">
        <w:rPr>
          <w:rStyle w:val="FootnoteReference"/>
          <w:bCs/>
        </w:rPr>
        <w:footnoteReference w:id="26"/>
      </w:r>
    </w:p>
    <w:p w:rsidR="00C74398" w:rsidRPr="005825D4" w:rsidRDefault="00C74398" w:rsidP="00A722C4">
      <w:pPr>
        <w:spacing w:line="360" w:lineRule="auto"/>
        <w:rPr>
          <w:bCs/>
        </w:rPr>
      </w:pPr>
    </w:p>
    <w:p w:rsidR="001562C0" w:rsidRPr="005825D4" w:rsidRDefault="00BD7F48" w:rsidP="00A722C4">
      <w:pPr>
        <w:spacing w:line="360" w:lineRule="auto"/>
      </w:pPr>
      <w:r w:rsidRPr="005825D4">
        <w:rPr>
          <w:bCs/>
        </w:rPr>
        <w:t>[48</w:t>
      </w:r>
      <w:r w:rsidR="001806BC" w:rsidRPr="005825D4">
        <w:rPr>
          <w:bCs/>
        </w:rPr>
        <w:t>]</w:t>
      </w:r>
      <w:r w:rsidR="001806BC" w:rsidRPr="005825D4">
        <w:rPr>
          <w:bCs/>
        </w:rPr>
        <w:tab/>
      </w:r>
      <w:r w:rsidR="006069A6" w:rsidRPr="005825D4">
        <w:rPr>
          <w:bCs/>
        </w:rPr>
        <w:t>The court noted that</w:t>
      </w:r>
      <w:r w:rsidR="00D31056" w:rsidRPr="005825D4">
        <w:rPr>
          <w:bCs/>
        </w:rPr>
        <w:t xml:space="preserve"> </w:t>
      </w:r>
      <w:r w:rsidR="006069A6" w:rsidRPr="005825D4">
        <w:rPr>
          <w:bCs/>
        </w:rPr>
        <w:t>no ground for justification of the limitation to the right to freed</w:t>
      </w:r>
      <w:r w:rsidR="00B978A4" w:rsidRPr="005825D4">
        <w:rPr>
          <w:bCs/>
        </w:rPr>
        <w:t>om of expression, in terms of s </w:t>
      </w:r>
      <w:r w:rsidR="006069A6" w:rsidRPr="005825D4">
        <w:rPr>
          <w:bCs/>
        </w:rPr>
        <w:t xml:space="preserve">36(1) of the Constitution, was provided by either the respondent in that case or the Minister of Communications. </w:t>
      </w:r>
      <w:r w:rsidR="00BA78BB" w:rsidRPr="005825D4">
        <w:rPr>
          <w:bCs/>
        </w:rPr>
        <w:t>On behalf of t</w:t>
      </w:r>
      <w:r w:rsidR="006069A6" w:rsidRPr="005825D4">
        <w:rPr>
          <w:bCs/>
        </w:rPr>
        <w:t>he board of the respondent</w:t>
      </w:r>
      <w:r w:rsidR="00BA78BB" w:rsidRPr="005825D4">
        <w:rPr>
          <w:bCs/>
        </w:rPr>
        <w:t xml:space="preserve"> it was submitted that</w:t>
      </w:r>
      <w:r w:rsidR="006069A6" w:rsidRPr="005825D4">
        <w:rPr>
          <w:bCs/>
        </w:rPr>
        <w:t xml:space="preserve"> the relevant part of clause 2</w:t>
      </w:r>
      <w:r w:rsidR="006069A6" w:rsidRPr="005825D4">
        <w:rPr>
          <w:bCs/>
          <w:i/>
        </w:rPr>
        <w:t>(a)</w:t>
      </w:r>
      <w:r w:rsidR="006069A6" w:rsidRPr="005825D4">
        <w:t xml:space="preserve"> should be interpreted to </w:t>
      </w:r>
      <w:r w:rsidR="006069A6" w:rsidRPr="005825D4">
        <w:lastRenderedPageBreak/>
        <w:t xml:space="preserve">mean that only broadcasts which </w:t>
      </w:r>
      <w:r w:rsidR="00EF3B85" w:rsidRPr="005825D4">
        <w:t>would</w:t>
      </w:r>
      <w:r w:rsidR="006069A6" w:rsidRPr="005825D4">
        <w:t xml:space="preserve"> probably cause material damage to relations between readily identifiable section</w:t>
      </w:r>
      <w:r w:rsidR="003B4295" w:rsidRPr="005825D4">
        <w:t>s</w:t>
      </w:r>
      <w:r w:rsidR="006069A6" w:rsidRPr="005825D4">
        <w:t xml:space="preserve"> of the population </w:t>
      </w:r>
      <w:r w:rsidR="00DA4664" w:rsidRPr="005825D4">
        <w:t>were</w:t>
      </w:r>
      <w:r w:rsidR="006069A6" w:rsidRPr="005825D4">
        <w:t xml:space="preserve"> hit by the proscription. ‘Sections of the population’ </w:t>
      </w:r>
      <w:r w:rsidR="00CB6878" w:rsidRPr="005825D4">
        <w:t>should</w:t>
      </w:r>
      <w:r w:rsidR="006069A6" w:rsidRPr="005825D4">
        <w:t xml:space="preserve"> be understood to refer to such sections as </w:t>
      </w:r>
      <w:r w:rsidR="00EF3B85" w:rsidRPr="005825D4">
        <w:t>were</w:t>
      </w:r>
      <w:r w:rsidR="006069A6" w:rsidRPr="005825D4">
        <w:t xml:space="preserve"> identifiable on the basis of race, ethnicity, gender and religion. According to the argument, ‘relations’ </w:t>
      </w:r>
      <w:r w:rsidR="00EF3B85" w:rsidRPr="005825D4">
        <w:t>was</w:t>
      </w:r>
      <w:r w:rsidR="006069A6" w:rsidRPr="005825D4">
        <w:t xml:space="preserve"> used in the context of there being a target victim group on the one hand, and a defined perpetrator group on the other, whose ex</w:t>
      </w:r>
      <w:r w:rsidR="00EF3B85" w:rsidRPr="005825D4">
        <w:t>pression moved</w:t>
      </w:r>
      <w:r w:rsidR="006069A6" w:rsidRPr="005825D4">
        <w:t xml:space="preserve"> other defined groups, to demonise or stereotype the victim group, and the victim group must, in turn, </w:t>
      </w:r>
      <w:r w:rsidR="00EF3B85" w:rsidRPr="005825D4">
        <w:t xml:space="preserve">have </w:t>
      </w:r>
      <w:r w:rsidR="006069A6" w:rsidRPr="005825D4">
        <w:t>blame</w:t>
      </w:r>
      <w:r w:rsidR="00EF3B85" w:rsidRPr="005825D4">
        <w:t>d</w:t>
      </w:r>
      <w:r w:rsidR="006069A6" w:rsidRPr="005825D4">
        <w:t xml:space="preserve"> the perpetrator group for this.</w:t>
      </w:r>
      <w:r w:rsidR="006069A6" w:rsidRPr="005825D4">
        <w:rPr>
          <w:rStyle w:val="FootnoteReference"/>
        </w:rPr>
        <w:footnoteReference w:id="27"/>
      </w:r>
    </w:p>
    <w:p w:rsidR="009124E4" w:rsidRPr="005825D4" w:rsidRDefault="009124E4" w:rsidP="00A722C4">
      <w:pPr>
        <w:spacing w:line="360" w:lineRule="auto"/>
      </w:pPr>
    </w:p>
    <w:p w:rsidR="009124E4" w:rsidRPr="005825D4" w:rsidRDefault="00BD7F48" w:rsidP="00A722C4">
      <w:pPr>
        <w:spacing w:line="360" w:lineRule="auto"/>
      </w:pPr>
      <w:r w:rsidRPr="005825D4">
        <w:t>[49</w:t>
      </w:r>
      <w:r w:rsidR="009124E4" w:rsidRPr="005825D4">
        <w:t>]</w:t>
      </w:r>
      <w:r w:rsidR="009124E4" w:rsidRPr="005825D4">
        <w:tab/>
        <w:t>Paras 43 and 44 are instructive. They read as follows:</w:t>
      </w:r>
    </w:p>
    <w:p w:rsidR="009124E4" w:rsidRPr="005825D4" w:rsidRDefault="009124E4" w:rsidP="00A722C4">
      <w:pPr>
        <w:spacing w:line="360" w:lineRule="auto"/>
        <w:rPr>
          <w:sz w:val="22"/>
        </w:rPr>
      </w:pPr>
      <w:r w:rsidRPr="005825D4">
        <w:rPr>
          <w:sz w:val="22"/>
        </w:rPr>
        <w:t>‘It is obvious that the interpretation contended for would entail a complicated exercise of interpreting the very wide language of the relevant part of clause 2</w:t>
      </w:r>
      <w:r w:rsidRPr="005825D4">
        <w:rPr>
          <w:i/>
          <w:sz w:val="22"/>
        </w:rPr>
        <w:t>(a)</w:t>
      </w:r>
      <w:r w:rsidRPr="005825D4">
        <w:rPr>
          <w:sz w:val="22"/>
        </w:rPr>
        <w:t xml:space="preserve"> in the light of the very concise and specific provisions of s 16(2)</w:t>
      </w:r>
      <w:r w:rsidRPr="005825D4">
        <w:rPr>
          <w:i/>
          <w:sz w:val="22"/>
        </w:rPr>
        <w:t>(c).</w:t>
      </w:r>
      <w:r w:rsidRPr="005825D4">
        <w:rPr>
          <w:sz w:val="22"/>
        </w:rPr>
        <w:t xml:space="preserve"> Whilst this process might assist in determining whether particular expression can be regarded as hate speech, </w:t>
      </w:r>
      <w:r w:rsidRPr="005825D4">
        <w:rPr>
          <w:i/>
          <w:sz w:val="22"/>
        </w:rPr>
        <w:t>I fail to see how its meaning can coincide with that of the impugned clause on any reasonable interpretation without being unduly strained</w:t>
      </w:r>
      <w:r w:rsidRPr="005825D4">
        <w:rPr>
          <w:sz w:val="22"/>
        </w:rPr>
        <w:t xml:space="preserve">. This segment of the clause is accordingly not reasonably capable of being unduly strained. </w:t>
      </w:r>
      <w:r w:rsidRPr="005825D4">
        <w:rPr>
          <w:i/>
          <w:sz w:val="22"/>
        </w:rPr>
        <w:t>This segment of the clause is accordingly not reasonably capable of being read to give the meaning which is favoured by the Board</w:t>
      </w:r>
      <w:r w:rsidRPr="005825D4">
        <w:rPr>
          <w:sz w:val="22"/>
        </w:rPr>
        <w:t>.</w:t>
      </w:r>
    </w:p>
    <w:p w:rsidR="009124E4" w:rsidRPr="005825D4" w:rsidRDefault="009124E4" w:rsidP="00A722C4">
      <w:pPr>
        <w:spacing w:line="360" w:lineRule="auto"/>
        <w:rPr>
          <w:sz w:val="22"/>
        </w:rPr>
      </w:pPr>
      <w:r w:rsidRPr="005825D4">
        <w:rPr>
          <w:sz w:val="22"/>
        </w:rPr>
        <w:t>The next question to be considered is whether the provision is nevertheless justifiable despite its inability to be read in the way that the Board suggests. The prohibition against the broadca</w:t>
      </w:r>
      <w:r w:rsidR="00591CB1" w:rsidRPr="005825D4">
        <w:rPr>
          <w:sz w:val="22"/>
        </w:rPr>
        <w:t>sting of any material which is “</w:t>
      </w:r>
      <w:r w:rsidRPr="005825D4">
        <w:rPr>
          <w:sz w:val="22"/>
        </w:rPr>
        <w:t>likely to prejudice relations between sections of the population</w:t>
      </w:r>
      <w:r w:rsidR="00591CB1" w:rsidRPr="005825D4">
        <w:rPr>
          <w:sz w:val="22"/>
        </w:rPr>
        <w:t>”</w:t>
      </w:r>
      <w:r w:rsidR="00585A69" w:rsidRPr="005825D4">
        <w:rPr>
          <w:sz w:val="22"/>
        </w:rPr>
        <w:t xml:space="preserve"> is cast in absolute terms; no material that fits the description may be broadcast. The prohibition is so widely</w:t>
      </w:r>
      <w:r w:rsidR="00DB626C" w:rsidRPr="005825D4">
        <w:rPr>
          <w:sz w:val="22"/>
        </w:rPr>
        <w:t>-</w:t>
      </w:r>
      <w:r w:rsidR="00585A69" w:rsidRPr="005825D4">
        <w:rPr>
          <w:sz w:val="22"/>
        </w:rPr>
        <w:t xml:space="preserve">phrased and so far-reaching that it would be difficult to know beforehand what is really prohibited or permitted. </w:t>
      </w:r>
      <w:r w:rsidR="00585A69" w:rsidRPr="005825D4">
        <w:rPr>
          <w:i/>
          <w:sz w:val="22"/>
        </w:rPr>
        <w:t>No intelligible standard</w:t>
      </w:r>
      <w:r w:rsidR="00585A69" w:rsidRPr="005825D4">
        <w:rPr>
          <w:sz w:val="22"/>
        </w:rPr>
        <w:t xml:space="preserve"> has been provided to assist in the determination of the scope of the prohibition. It would deny both broadcasters and their audien</w:t>
      </w:r>
      <w:r w:rsidR="00591CB1" w:rsidRPr="005825D4">
        <w:rPr>
          <w:sz w:val="22"/>
        </w:rPr>
        <w:t>ces the right to hear, f</w:t>
      </w:r>
      <w:r w:rsidR="00585A69" w:rsidRPr="005825D4">
        <w:rPr>
          <w:sz w:val="22"/>
        </w:rPr>
        <w:t>o</w:t>
      </w:r>
      <w:r w:rsidR="00591CB1" w:rsidRPr="005825D4">
        <w:rPr>
          <w:sz w:val="22"/>
        </w:rPr>
        <w:t>r</w:t>
      </w:r>
      <w:r w:rsidR="00585A69" w:rsidRPr="005825D4">
        <w:rPr>
          <w:sz w:val="22"/>
        </w:rPr>
        <w:t>m and freely express and disseminate their opinions and vie</w:t>
      </w:r>
      <w:r w:rsidR="00591CB1" w:rsidRPr="005825D4">
        <w:rPr>
          <w:sz w:val="22"/>
        </w:rPr>
        <w:t>w</w:t>
      </w:r>
      <w:r w:rsidR="00585A69" w:rsidRPr="005825D4">
        <w:rPr>
          <w:sz w:val="22"/>
        </w:rPr>
        <w:t xml:space="preserve">s on a wide range of subjects. </w:t>
      </w:r>
      <w:r w:rsidR="00585A69" w:rsidRPr="005825D4">
        <w:rPr>
          <w:i/>
          <w:sz w:val="22"/>
        </w:rPr>
        <w:t>The wide ambit of this prohibition may also impinge on other rights, such as the exercise and enjoyment of the right to freedom of religion, belief and opinion guaranteed in s 15 of the Constitution</w:t>
      </w:r>
      <w:r w:rsidR="00585A69" w:rsidRPr="005825D4">
        <w:rPr>
          <w:sz w:val="22"/>
        </w:rPr>
        <w:t>.’</w:t>
      </w:r>
      <w:r w:rsidR="005A5785" w:rsidRPr="005825D4">
        <w:rPr>
          <w:rStyle w:val="FootnoteReference"/>
          <w:sz w:val="22"/>
        </w:rPr>
        <w:footnoteReference w:id="28"/>
      </w:r>
      <w:r w:rsidR="00AE56A7" w:rsidRPr="005825D4">
        <w:rPr>
          <w:sz w:val="22"/>
        </w:rPr>
        <w:t xml:space="preserve"> </w:t>
      </w:r>
    </w:p>
    <w:p w:rsidR="006069A6" w:rsidRPr="005825D4" w:rsidRDefault="006069A6" w:rsidP="00A722C4">
      <w:pPr>
        <w:spacing w:line="360" w:lineRule="auto"/>
        <w:rPr>
          <w:bCs/>
        </w:rPr>
      </w:pPr>
    </w:p>
    <w:p w:rsidR="00002AC1" w:rsidRPr="005825D4" w:rsidRDefault="00BD7F48" w:rsidP="00A722C4">
      <w:pPr>
        <w:spacing w:line="360" w:lineRule="auto"/>
        <w:rPr>
          <w:bCs/>
        </w:rPr>
      </w:pPr>
      <w:r w:rsidRPr="005825D4">
        <w:rPr>
          <w:bCs/>
        </w:rPr>
        <w:t>[50</w:t>
      </w:r>
      <w:r w:rsidR="00002AC1" w:rsidRPr="005825D4">
        <w:rPr>
          <w:bCs/>
        </w:rPr>
        <w:t>]</w:t>
      </w:r>
      <w:r w:rsidR="00002AC1" w:rsidRPr="005825D4">
        <w:rPr>
          <w:bCs/>
        </w:rPr>
        <w:tab/>
        <w:t xml:space="preserve">The </w:t>
      </w:r>
      <w:r w:rsidR="009B146A" w:rsidRPr="005825D4">
        <w:rPr>
          <w:bCs/>
        </w:rPr>
        <w:t xml:space="preserve">ultimate </w:t>
      </w:r>
      <w:r w:rsidR="00002AC1" w:rsidRPr="005825D4">
        <w:rPr>
          <w:bCs/>
        </w:rPr>
        <w:t>finding of the court is at para 51:</w:t>
      </w:r>
    </w:p>
    <w:p w:rsidR="00002AC1" w:rsidRPr="005825D4" w:rsidRDefault="00002AC1" w:rsidP="00A722C4">
      <w:pPr>
        <w:spacing w:line="360" w:lineRule="auto"/>
        <w:rPr>
          <w:bCs/>
          <w:sz w:val="22"/>
        </w:rPr>
      </w:pPr>
      <w:r w:rsidRPr="005825D4">
        <w:rPr>
          <w:bCs/>
          <w:sz w:val="22"/>
        </w:rPr>
        <w:lastRenderedPageBreak/>
        <w:t xml:space="preserve">‘There is no doubt that the inroads on the right to freedom of expression made by the prohibition on which the complaint is based are far too extensive and outweigh the factors considered by the Board as ameliorating their impact. As already stated, no grounds of justification have been advanced by the IBA and the Minister for such a serious infraction of the right guaranteed by </w:t>
      </w:r>
      <w:r w:rsidR="00A2439F" w:rsidRPr="005825D4">
        <w:rPr>
          <w:bCs/>
          <w:sz w:val="22"/>
        </w:rPr>
        <w:t>s </w:t>
      </w:r>
      <w:r w:rsidRPr="005825D4">
        <w:rPr>
          <w:bCs/>
          <w:sz w:val="22"/>
        </w:rPr>
        <w:t>16(1) of the Constitution. It has</w:t>
      </w:r>
      <w:r w:rsidR="009F0A59" w:rsidRPr="005825D4">
        <w:rPr>
          <w:bCs/>
          <w:sz w:val="22"/>
        </w:rPr>
        <w:t xml:space="preserve"> also not been shown that the </w:t>
      </w:r>
      <w:r w:rsidRPr="005825D4">
        <w:rPr>
          <w:bCs/>
          <w:sz w:val="22"/>
        </w:rPr>
        <w:t xml:space="preserve">very real need to protect dignity, equality and the development of national unity could not be adequately </w:t>
      </w:r>
      <w:r w:rsidR="00DB626C" w:rsidRPr="005825D4">
        <w:rPr>
          <w:bCs/>
          <w:sz w:val="22"/>
        </w:rPr>
        <w:t xml:space="preserve">served </w:t>
      </w:r>
      <w:r w:rsidRPr="005825D4">
        <w:rPr>
          <w:bCs/>
          <w:sz w:val="22"/>
        </w:rPr>
        <w:t xml:space="preserve">by the enactment of a provision </w:t>
      </w:r>
      <w:r w:rsidRPr="005825D4">
        <w:rPr>
          <w:bCs/>
          <w:i/>
          <w:sz w:val="22"/>
        </w:rPr>
        <w:t>which is appropriately tailored and more narrowly focussed</w:t>
      </w:r>
      <w:r w:rsidRPr="005825D4">
        <w:rPr>
          <w:bCs/>
          <w:sz w:val="22"/>
        </w:rPr>
        <w:t>. I find therefore that the relevant portion of clause 2</w:t>
      </w:r>
      <w:r w:rsidRPr="005825D4">
        <w:rPr>
          <w:bCs/>
          <w:i/>
          <w:sz w:val="22"/>
        </w:rPr>
        <w:t>(a)</w:t>
      </w:r>
      <w:r w:rsidRPr="005825D4">
        <w:rPr>
          <w:bCs/>
          <w:sz w:val="22"/>
        </w:rPr>
        <w:t xml:space="preserve"> impermissibly limits the right to freedom of expression and is accordingly unconstitutional.’</w:t>
      </w:r>
      <w:r w:rsidR="005A5785" w:rsidRPr="005825D4">
        <w:rPr>
          <w:rStyle w:val="FootnoteReference"/>
          <w:bCs/>
          <w:sz w:val="22"/>
        </w:rPr>
        <w:footnoteReference w:id="29"/>
      </w:r>
    </w:p>
    <w:p w:rsidR="000F55A4" w:rsidRPr="005825D4" w:rsidRDefault="00FC1A08" w:rsidP="00A722C4">
      <w:pPr>
        <w:spacing w:line="360" w:lineRule="auto"/>
        <w:rPr>
          <w:bCs/>
        </w:rPr>
      </w:pPr>
      <w:r w:rsidRPr="005825D4">
        <w:rPr>
          <w:bCs/>
        </w:rPr>
        <w:t>I will</w:t>
      </w:r>
      <w:r w:rsidR="00734E97" w:rsidRPr="005825D4">
        <w:rPr>
          <w:bCs/>
        </w:rPr>
        <w:t>,</w:t>
      </w:r>
      <w:r w:rsidR="008C34C8" w:rsidRPr="005825D4">
        <w:rPr>
          <w:bCs/>
        </w:rPr>
        <w:t xml:space="preserve"> in due course</w:t>
      </w:r>
      <w:r w:rsidR="00734E97" w:rsidRPr="005825D4">
        <w:rPr>
          <w:bCs/>
        </w:rPr>
        <w:t>,</w:t>
      </w:r>
      <w:r w:rsidRPr="005825D4">
        <w:rPr>
          <w:bCs/>
        </w:rPr>
        <w:t xml:space="preserve"> deal with the remedy </w:t>
      </w:r>
      <w:r w:rsidR="00454056" w:rsidRPr="005825D4">
        <w:rPr>
          <w:bCs/>
        </w:rPr>
        <w:t>crafted</w:t>
      </w:r>
      <w:r w:rsidRPr="005825D4">
        <w:rPr>
          <w:bCs/>
        </w:rPr>
        <w:t xml:space="preserve"> by the Constitutional Court in </w:t>
      </w:r>
      <w:r w:rsidRPr="005825D4">
        <w:rPr>
          <w:bCs/>
          <w:i/>
        </w:rPr>
        <w:t>Islamic Unity</w:t>
      </w:r>
      <w:r w:rsidRPr="005825D4">
        <w:rPr>
          <w:bCs/>
        </w:rPr>
        <w:t xml:space="preserve">. </w:t>
      </w:r>
    </w:p>
    <w:p w:rsidR="00DB626C" w:rsidRPr="005825D4" w:rsidRDefault="00DB626C" w:rsidP="00A722C4">
      <w:pPr>
        <w:spacing w:line="360" w:lineRule="auto"/>
        <w:rPr>
          <w:bCs/>
        </w:rPr>
      </w:pPr>
    </w:p>
    <w:p w:rsidR="00DB626C" w:rsidRPr="005825D4" w:rsidRDefault="00DB626C" w:rsidP="00A722C4">
      <w:pPr>
        <w:spacing w:line="360" w:lineRule="auto"/>
        <w:rPr>
          <w:bCs/>
        </w:rPr>
      </w:pPr>
      <w:r w:rsidRPr="005825D4">
        <w:rPr>
          <w:bCs/>
        </w:rPr>
        <w:t>[51]</w:t>
      </w:r>
      <w:r w:rsidRPr="005825D4">
        <w:rPr>
          <w:bCs/>
        </w:rPr>
        <w:tab/>
        <w:t>The effect of this is that all expression is protected save anything that falls within s</w:t>
      </w:r>
      <w:r w:rsidR="00AD4C30" w:rsidRPr="005825D4">
        <w:rPr>
          <w:bCs/>
        </w:rPr>
        <w:t> </w:t>
      </w:r>
      <w:r w:rsidRPr="005825D4">
        <w:rPr>
          <w:bCs/>
        </w:rPr>
        <w:t>16(2)</w:t>
      </w:r>
      <w:r w:rsidRPr="005825D4">
        <w:rPr>
          <w:bCs/>
          <w:i/>
        </w:rPr>
        <w:t>(c)</w:t>
      </w:r>
      <w:r w:rsidRPr="005825D4">
        <w:rPr>
          <w:bCs/>
        </w:rPr>
        <w:t xml:space="preserve">. Moseneke J summarised this in </w:t>
      </w:r>
      <w:r w:rsidRPr="005825D4">
        <w:rPr>
          <w:bCs/>
          <w:i/>
        </w:rPr>
        <w:t>Laugh It Off</w:t>
      </w:r>
      <w:r w:rsidRPr="005825D4">
        <w:rPr>
          <w:rStyle w:val="FootnoteReference"/>
          <w:bCs/>
        </w:rPr>
        <w:footnoteReference w:id="30"/>
      </w:r>
      <w:r w:rsidRPr="005825D4">
        <w:rPr>
          <w:bCs/>
        </w:rPr>
        <w:t xml:space="preserve"> in saying that ‘unless an </w:t>
      </w:r>
      <w:r w:rsidR="00B978A4" w:rsidRPr="005825D4">
        <w:rPr>
          <w:bCs/>
        </w:rPr>
        <w:t>expressive act is excluded by s </w:t>
      </w:r>
      <w:r w:rsidRPr="005825D4">
        <w:rPr>
          <w:bCs/>
        </w:rPr>
        <w:t xml:space="preserve">16(2) </w:t>
      </w:r>
      <w:r w:rsidR="00CA6523" w:rsidRPr="005825D4">
        <w:rPr>
          <w:bCs/>
        </w:rPr>
        <w:t xml:space="preserve">it is protected expression’. Legislation may be passed that limits otherwise protected freedom of expression, but it must </w:t>
      </w:r>
      <w:r w:rsidR="00B978A4" w:rsidRPr="005825D4">
        <w:rPr>
          <w:bCs/>
        </w:rPr>
        <w:t>then be justified in terms of s </w:t>
      </w:r>
      <w:r w:rsidR="00CA6523" w:rsidRPr="005825D4">
        <w:rPr>
          <w:bCs/>
        </w:rPr>
        <w:t>36 of the Constitu</w:t>
      </w:r>
      <w:r w:rsidR="00B978A4" w:rsidRPr="005825D4">
        <w:rPr>
          <w:bCs/>
        </w:rPr>
        <w:t>tion. This does not mean that s </w:t>
      </w:r>
      <w:r w:rsidR="00CA6523" w:rsidRPr="005825D4">
        <w:rPr>
          <w:bCs/>
        </w:rPr>
        <w:t>16(2)</w:t>
      </w:r>
      <w:r w:rsidR="00CA6523" w:rsidRPr="005825D4">
        <w:rPr>
          <w:bCs/>
          <w:i/>
        </w:rPr>
        <w:t>(c)</w:t>
      </w:r>
      <w:r w:rsidR="00CA6523" w:rsidRPr="005825D4">
        <w:rPr>
          <w:bCs/>
        </w:rPr>
        <w:t xml:space="preserve"> is irrelevant to the justification analysis. It provides a baseline against which to measure the extent of any limitation so that the greater the intrusion into freedom of expression and the further the departure from that baseline the stricte</w:t>
      </w:r>
      <w:r w:rsidR="00F3018A" w:rsidRPr="005825D4">
        <w:rPr>
          <w:bCs/>
        </w:rPr>
        <w:t>r the scrutiny that is required</w:t>
      </w:r>
      <w:r w:rsidR="00CA6523" w:rsidRPr="005825D4">
        <w:rPr>
          <w:bCs/>
        </w:rPr>
        <w:t>.</w:t>
      </w:r>
      <w:r w:rsidR="001B4D82" w:rsidRPr="005825D4">
        <w:rPr>
          <w:rStyle w:val="FootnoteReference"/>
          <w:bCs/>
        </w:rPr>
        <w:footnoteReference w:id="31"/>
      </w:r>
      <w:r w:rsidR="00CA6523" w:rsidRPr="005825D4">
        <w:rPr>
          <w:bCs/>
        </w:rPr>
        <w:t xml:space="preserve"> </w:t>
      </w:r>
    </w:p>
    <w:p w:rsidR="00FC1A08" w:rsidRPr="005825D4" w:rsidRDefault="00FC1A08" w:rsidP="00A722C4">
      <w:pPr>
        <w:spacing w:line="360" w:lineRule="auto"/>
        <w:rPr>
          <w:bCs/>
        </w:rPr>
      </w:pPr>
    </w:p>
    <w:p w:rsidR="00D60CE0" w:rsidRPr="005825D4" w:rsidRDefault="00D60CE0" w:rsidP="00A722C4">
      <w:pPr>
        <w:spacing w:line="360" w:lineRule="auto"/>
        <w:rPr>
          <w:b/>
          <w:bCs/>
        </w:rPr>
      </w:pPr>
      <w:r w:rsidRPr="005825D4">
        <w:rPr>
          <w:b/>
          <w:bCs/>
        </w:rPr>
        <w:t>Section 10(1) of PEPUDA – a closer look</w:t>
      </w:r>
    </w:p>
    <w:p w:rsidR="000F55A4" w:rsidRPr="005825D4" w:rsidRDefault="006721AB" w:rsidP="00A722C4">
      <w:pPr>
        <w:spacing w:line="360" w:lineRule="auto"/>
        <w:rPr>
          <w:bCs/>
        </w:rPr>
      </w:pPr>
      <w:r w:rsidRPr="005825D4">
        <w:rPr>
          <w:bCs/>
        </w:rPr>
        <w:t>[52</w:t>
      </w:r>
      <w:r w:rsidR="000F55A4" w:rsidRPr="005825D4">
        <w:rPr>
          <w:bCs/>
        </w:rPr>
        <w:t>]</w:t>
      </w:r>
      <w:r w:rsidR="000F55A4" w:rsidRPr="005825D4">
        <w:rPr>
          <w:bCs/>
        </w:rPr>
        <w:tab/>
      </w:r>
      <w:r w:rsidR="00B978A4" w:rsidRPr="005825D4">
        <w:rPr>
          <w:bCs/>
        </w:rPr>
        <w:t>The provisions of s </w:t>
      </w:r>
      <w:r w:rsidR="00CB6878" w:rsidRPr="005825D4">
        <w:rPr>
          <w:bCs/>
        </w:rPr>
        <w:t>10</w:t>
      </w:r>
      <w:r w:rsidR="00D60CE0" w:rsidRPr="005825D4">
        <w:rPr>
          <w:bCs/>
        </w:rPr>
        <w:t>(1)</w:t>
      </w:r>
      <w:r w:rsidR="00CB6878" w:rsidRPr="005825D4">
        <w:rPr>
          <w:bCs/>
        </w:rPr>
        <w:t xml:space="preserve"> of</w:t>
      </w:r>
      <w:r w:rsidR="00BB12CB" w:rsidRPr="005825D4">
        <w:rPr>
          <w:bCs/>
        </w:rPr>
        <w:t xml:space="preserve"> PEPUDA self-evidently restrict</w:t>
      </w:r>
      <w:r w:rsidR="00D60CE0" w:rsidRPr="005825D4">
        <w:rPr>
          <w:bCs/>
        </w:rPr>
        <w:t xml:space="preserve"> the right of</w:t>
      </w:r>
      <w:r w:rsidR="00CB6878" w:rsidRPr="005825D4">
        <w:rPr>
          <w:bCs/>
        </w:rPr>
        <w:t xml:space="preserve"> freedom of expression</w:t>
      </w:r>
      <w:r w:rsidR="00B978A4" w:rsidRPr="005825D4">
        <w:rPr>
          <w:bCs/>
        </w:rPr>
        <w:t xml:space="preserve"> provided for in s </w:t>
      </w:r>
      <w:r w:rsidR="00D60CE0" w:rsidRPr="005825D4">
        <w:rPr>
          <w:bCs/>
        </w:rPr>
        <w:t>16</w:t>
      </w:r>
      <w:r w:rsidR="008C34C8" w:rsidRPr="005825D4">
        <w:rPr>
          <w:bCs/>
        </w:rPr>
        <w:t>(1)</w:t>
      </w:r>
      <w:r w:rsidR="00D60CE0" w:rsidRPr="005825D4">
        <w:rPr>
          <w:bCs/>
        </w:rPr>
        <w:t xml:space="preserve"> of the Constitution</w:t>
      </w:r>
      <w:r w:rsidR="00CB6878" w:rsidRPr="005825D4">
        <w:rPr>
          <w:bCs/>
        </w:rPr>
        <w:t xml:space="preserve">. This was not in contestation. What </w:t>
      </w:r>
      <w:r w:rsidRPr="005825D4">
        <w:rPr>
          <w:bCs/>
        </w:rPr>
        <w:t>was</w:t>
      </w:r>
      <w:r w:rsidR="00CB6878" w:rsidRPr="005825D4">
        <w:rPr>
          <w:bCs/>
        </w:rPr>
        <w:t xml:space="preserve"> in dispute is whether they ex</w:t>
      </w:r>
      <w:r w:rsidR="00B978A4" w:rsidRPr="005825D4">
        <w:rPr>
          <w:bCs/>
        </w:rPr>
        <w:t>tend beyond the provisions of s </w:t>
      </w:r>
      <w:r w:rsidR="00CB6878" w:rsidRPr="005825D4">
        <w:rPr>
          <w:bCs/>
        </w:rPr>
        <w:t>16</w:t>
      </w:r>
      <w:r w:rsidR="00D60CE0" w:rsidRPr="005825D4">
        <w:rPr>
          <w:bCs/>
        </w:rPr>
        <w:t>(2)</w:t>
      </w:r>
      <w:r w:rsidR="0031205C" w:rsidRPr="005825D4">
        <w:rPr>
          <w:bCs/>
          <w:i/>
        </w:rPr>
        <w:t>(c)</w:t>
      </w:r>
      <w:r w:rsidR="00CB6878" w:rsidRPr="005825D4">
        <w:rPr>
          <w:bCs/>
        </w:rPr>
        <w:t xml:space="preserve"> of the Constitution and, if so, whether they </w:t>
      </w:r>
      <w:r w:rsidRPr="005825D4">
        <w:rPr>
          <w:bCs/>
        </w:rPr>
        <w:t>were</w:t>
      </w:r>
      <w:r w:rsidR="00CB6878" w:rsidRPr="005825D4">
        <w:rPr>
          <w:bCs/>
        </w:rPr>
        <w:t xml:space="preserve"> justifiable. At</w:t>
      </w:r>
      <w:r w:rsidR="000F55A4" w:rsidRPr="005825D4">
        <w:rPr>
          <w:bCs/>
        </w:rPr>
        <w:t xml:space="preserve"> the outset,</w:t>
      </w:r>
      <w:r w:rsidR="00CB6878" w:rsidRPr="005825D4">
        <w:rPr>
          <w:bCs/>
        </w:rPr>
        <w:t xml:space="preserve"> it is necessary</w:t>
      </w:r>
      <w:r w:rsidR="000F55A4" w:rsidRPr="005825D4">
        <w:rPr>
          <w:bCs/>
        </w:rPr>
        <w:t xml:space="preserve"> to record that the Minister’s response to </w:t>
      </w:r>
      <w:r w:rsidR="00487EBA" w:rsidRPr="005825D4">
        <w:rPr>
          <w:bCs/>
        </w:rPr>
        <w:t>Mr Qwelane’s</w:t>
      </w:r>
      <w:r w:rsidR="000F55A4" w:rsidRPr="005825D4">
        <w:rPr>
          <w:bCs/>
        </w:rPr>
        <w:t xml:space="preserve"> application t</w:t>
      </w:r>
      <w:r w:rsidR="00D77C73" w:rsidRPr="005825D4">
        <w:rPr>
          <w:bCs/>
        </w:rPr>
        <w:t xml:space="preserve">o have relevant sections </w:t>
      </w:r>
      <w:r w:rsidR="00D77C73" w:rsidRPr="005825D4">
        <w:rPr>
          <w:bCs/>
        </w:rPr>
        <w:lastRenderedPageBreak/>
        <w:t>of</w:t>
      </w:r>
      <w:r w:rsidR="000F55A4" w:rsidRPr="005825D4">
        <w:rPr>
          <w:bCs/>
        </w:rPr>
        <w:t xml:space="preserve"> PEP</w:t>
      </w:r>
      <w:r w:rsidR="00D60CE0" w:rsidRPr="005825D4">
        <w:rPr>
          <w:bCs/>
        </w:rPr>
        <w:t>UDA declared unconstitutional was</w:t>
      </w:r>
      <w:r w:rsidR="000F55A4" w:rsidRPr="005825D4">
        <w:rPr>
          <w:bCs/>
        </w:rPr>
        <w:t>, at best, sparse</w:t>
      </w:r>
      <w:r w:rsidR="009A3933" w:rsidRPr="005825D4">
        <w:rPr>
          <w:bCs/>
        </w:rPr>
        <w:t xml:space="preserve">, both literally and figuratively. </w:t>
      </w:r>
      <w:r w:rsidR="009B146A" w:rsidRPr="005825D4">
        <w:rPr>
          <w:bCs/>
        </w:rPr>
        <w:t>It</w:t>
      </w:r>
      <w:r w:rsidR="00D60CE0" w:rsidRPr="005825D4">
        <w:rPr>
          <w:bCs/>
        </w:rPr>
        <w:t xml:space="preserve"> encompassed</w:t>
      </w:r>
      <w:r w:rsidR="009A3933" w:rsidRPr="005825D4">
        <w:rPr>
          <w:bCs/>
        </w:rPr>
        <w:t xml:space="preserve"> four pages</w:t>
      </w:r>
      <w:r w:rsidR="000F55A4" w:rsidRPr="005825D4">
        <w:rPr>
          <w:bCs/>
        </w:rPr>
        <w:t>.</w:t>
      </w:r>
      <w:r w:rsidR="00D60CE0" w:rsidRPr="005825D4">
        <w:rPr>
          <w:bCs/>
        </w:rPr>
        <w:t xml:space="preserve"> In respect of content, it was</w:t>
      </w:r>
      <w:r w:rsidR="009A3933" w:rsidRPr="005825D4">
        <w:rPr>
          <w:bCs/>
        </w:rPr>
        <w:t xml:space="preserve"> </w:t>
      </w:r>
      <w:r w:rsidR="003B4295" w:rsidRPr="005825D4">
        <w:rPr>
          <w:bCs/>
        </w:rPr>
        <w:t>even more</w:t>
      </w:r>
      <w:r w:rsidR="009A3933" w:rsidRPr="005825D4">
        <w:rPr>
          <w:bCs/>
        </w:rPr>
        <w:t xml:space="preserve"> limited.</w:t>
      </w:r>
      <w:r w:rsidR="000F55A4" w:rsidRPr="005825D4">
        <w:rPr>
          <w:bCs/>
        </w:rPr>
        <w:t xml:space="preserve"> </w:t>
      </w:r>
      <w:r w:rsidR="003E0A6D" w:rsidRPr="005825D4">
        <w:rPr>
          <w:bCs/>
        </w:rPr>
        <w:t>The stance adopted</w:t>
      </w:r>
      <w:r w:rsidR="00BA78BB" w:rsidRPr="005825D4">
        <w:rPr>
          <w:bCs/>
        </w:rPr>
        <w:t xml:space="preserve"> by the Minister</w:t>
      </w:r>
      <w:r w:rsidR="003E0A6D" w:rsidRPr="005825D4">
        <w:rPr>
          <w:bCs/>
        </w:rPr>
        <w:t xml:space="preserve"> was that the facts </w:t>
      </w:r>
      <w:r w:rsidR="00523AD3" w:rsidRPr="005825D4">
        <w:rPr>
          <w:bCs/>
        </w:rPr>
        <w:t xml:space="preserve">of any case </w:t>
      </w:r>
      <w:r w:rsidR="003E0A6D" w:rsidRPr="005825D4">
        <w:rPr>
          <w:bCs/>
        </w:rPr>
        <w:t xml:space="preserve">should be considered to determine whether or not the </w:t>
      </w:r>
      <w:r w:rsidR="00523AD3" w:rsidRPr="005825D4">
        <w:rPr>
          <w:bCs/>
        </w:rPr>
        <w:t>expression</w:t>
      </w:r>
      <w:r w:rsidR="003E0A6D" w:rsidRPr="005825D4">
        <w:rPr>
          <w:bCs/>
        </w:rPr>
        <w:t xml:space="preserve"> </w:t>
      </w:r>
      <w:r w:rsidR="00B978A4" w:rsidRPr="005825D4">
        <w:rPr>
          <w:bCs/>
        </w:rPr>
        <w:t>complained of is protected by s </w:t>
      </w:r>
      <w:r w:rsidR="003E0A6D" w:rsidRPr="005825D4">
        <w:rPr>
          <w:bCs/>
        </w:rPr>
        <w:t>16 of the Constitution and that a constitutional issue beyond that would not arise.</w:t>
      </w:r>
      <w:r w:rsidR="00106021" w:rsidRPr="005825D4">
        <w:rPr>
          <w:bCs/>
        </w:rPr>
        <w:t xml:space="preserve"> An inconsistency bet</w:t>
      </w:r>
      <w:r w:rsidR="00B978A4" w:rsidRPr="005825D4">
        <w:rPr>
          <w:bCs/>
        </w:rPr>
        <w:t>ween s</w:t>
      </w:r>
      <w:r w:rsidR="00B978A4" w:rsidRPr="005825D4">
        <w:rPr>
          <w:bCs/>
          <w:lang w:val="en-ZA"/>
        </w:rPr>
        <w:t> </w:t>
      </w:r>
      <w:r w:rsidR="00D60CE0" w:rsidRPr="005825D4">
        <w:rPr>
          <w:bCs/>
        </w:rPr>
        <w:t xml:space="preserve">10(1) of PEPUDA and </w:t>
      </w:r>
      <w:r w:rsidR="00B978A4" w:rsidRPr="005825D4">
        <w:rPr>
          <w:bCs/>
        </w:rPr>
        <w:t>s </w:t>
      </w:r>
      <w:r w:rsidR="00734E97" w:rsidRPr="005825D4">
        <w:rPr>
          <w:bCs/>
        </w:rPr>
        <w:t>16 of the</w:t>
      </w:r>
      <w:r w:rsidR="00D60CE0" w:rsidRPr="005825D4">
        <w:rPr>
          <w:bCs/>
        </w:rPr>
        <w:t xml:space="preserve"> C</w:t>
      </w:r>
      <w:r w:rsidR="00106021" w:rsidRPr="005825D4">
        <w:rPr>
          <w:bCs/>
        </w:rPr>
        <w:t xml:space="preserve">onstitution was denied. The Minister was of the view that the inclusion of ‘sexual orientation’ as one of the prohibited grounds </w:t>
      </w:r>
      <w:r w:rsidR="00B978A4" w:rsidRPr="005825D4">
        <w:rPr>
          <w:bCs/>
        </w:rPr>
        <w:t>beyond the grounds set out in s </w:t>
      </w:r>
      <w:r w:rsidR="00106021" w:rsidRPr="005825D4">
        <w:rPr>
          <w:bCs/>
        </w:rPr>
        <w:t>16(2) of the Constitution was legitima</w:t>
      </w:r>
      <w:r w:rsidR="00E44E9C" w:rsidRPr="005825D4">
        <w:rPr>
          <w:bCs/>
        </w:rPr>
        <w:t xml:space="preserve">te, serving to </w:t>
      </w:r>
      <w:r w:rsidR="00B978A4" w:rsidRPr="005825D4">
        <w:rPr>
          <w:bCs/>
        </w:rPr>
        <w:t>extend equality, in line with s </w:t>
      </w:r>
      <w:r w:rsidR="00E44E9C" w:rsidRPr="005825D4">
        <w:rPr>
          <w:bCs/>
        </w:rPr>
        <w:t xml:space="preserve">39 of the Constitution. </w:t>
      </w:r>
      <w:r w:rsidR="009A3933" w:rsidRPr="005825D4">
        <w:rPr>
          <w:bCs/>
        </w:rPr>
        <w:t xml:space="preserve">The Minister postulated that the </w:t>
      </w:r>
      <w:r w:rsidR="001063CE" w:rsidRPr="005825D4">
        <w:rPr>
          <w:bCs/>
        </w:rPr>
        <w:t xml:space="preserve">civil and criminal </w:t>
      </w:r>
      <w:r w:rsidR="009A3933" w:rsidRPr="005825D4">
        <w:rPr>
          <w:bCs/>
        </w:rPr>
        <w:t xml:space="preserve">sanctions provided for </w:t>
      </w:r>
      <w:r w:rsidR="00B978A4" w:rsidRPr="005825D4">
        <w:rPr>
          <w:bCs/>
        </w:rPr>
        <w:t>in s </w:t>
      </w:r>
      <w:r w:rsidR="001063CE" w:rsidRPr="005825D4">
        <w:rPr>
          <w:bCs/>
        </w:rPr>
        <w:t>10(2)</w:t>
      </w:r>
      <w:r w:rsidR="00BB12CB" w:rsidRPr="005825D4">
        <w:rPr>
          <w:rStyle w:val="FootnoteReference"/>
          <w:bCs/>
        </w:rPr>
        <w:footnoteReference w:id="32"/>
      </w:r>
      <w:r w:rsidR="00B978A4" w:rsidRPr="005825D4">
        <w:rPr>
          <w:bCs/>
        </w:rPr>
        <w:t xml:space="preserve"> read with s </w:t>
      </w:r>
      <w:r w:rsidR="001063CE" w:rsidRPr="005825D4">
        <w:rPr>
          <w:bCs/>
        </w:rPr>
        <w:t>21(2)</w:t>
      </w:r>
      <w:r w:rsidR="001063CE" w:rsidRPr="005825D4">
        <w:rPr>
          <w:bCs/>
          <w:i/>
        </w:rPr>
        <w:t>(n)</w:t>
      </w:r>
      <w:r w:rsidR="001063CE" w:rsidRPr="005825D4">
        <w:rPr>
          <w:bCs/>
        </w:rPr>
        <w:t xml:space="preserve"> of PEPUDA, were founded on the common law or applicable legislation and that ‘the Equality Act does not create the aforesaid sanctions’. </w:t>
      </w:r>
      <w:r w:rsidR="00D60CE0" w:rsidRPr="005825D4">
        <w:rPr>
          <w:bCs/>
        </w:rPr>
        <w:t>There was</w:t>
      </w:r>
      <w:r w:rsidR="00C81B52" w:rsidRPr="005825D4">
        <w:rPr>
          <w:bCs/>
        </w:rPr>
        <w:t xml:space="preserve"> a general </w:t>
      </w:r>
      <w:r w:rsidR="00BA78BB" w:rsidRPr="005825D4">
        <w:rPr>
          <w:bCs/>
        </w:rPr>
        <w:t xml:space="preserve">unsubstantiated </w:t>
      </w:r>
      <w:r w:rsidR="00C81B52" w:rsidRPr="005825D4">
        <w:rPr>
          <w:bCs/>
        </w:rPr>
        <w:t>assertion by the Minister</w:t>
      </w:r>
      <w:r w:rsidR="00BA78BB" w:rsidRPr="005825D4">
        <w:rPr>
          <w:bCs/>
        </w:rPr>
        <w:t>,</w:t>
      </w:r>
      <w:r w:rsidR="00C81B52" w:rsidRPr="005825D4">
        <w:rPr>
          <w:bCs/>
        </w:rPr>
        <w:t xml:space="preserve"> </w:t>
      </w:r>
      <w:r w:rsidR="00B978A4" w:rsidRPr="005825D4">
        <w:rPr>
          <w:bCs/>
        </w:rPr>
        <w:t>that s </w:t>
      </w:r>
      <w:r w:rsidR="00C81B52" w:rsidRPr="005825D4">
        <w:rPr>
          <w:bCs/>
        </w:rPr>
        <w:t xml:space="preserve">10(1) is </w:t>
      </w:r>
      <w:r w:rsidR="003B4295" w:rsidRPr="005825D4">
        <w:rPr>
          <w:bCs/>
        </w:rPr>
        <w:t>j</w:t>
      </w:r>
      <w:r w:rsidR="00B978A4" w:rsidRPr="005825D4">
        <w:rPr>
          <w:bCs/>
        </w:rPr>
        <w:t>ustifiable under s </w:t>
      </w:r>
      <w:r w:rsidR="00C81B52" w:rsidRPr="005825D4">
        <w:rPr>
          <w:bCs/>
        </w:rPr>
        <w:t xml:space="preserve">36 of the Constitution. </w:t>
      </w:r>
      <w:r w:rsidR="00440F47" w:rsidRPr="005825D4">
        <w:rPr>
          <w:bCs/>
        </w:rPr>
        <w:t>That, then, in essence, was the sum total of the purporte</w:t>
      </w:r>
      <w:r w:rsidR="00BA78BB" w:rsidRPr="005825D4">
        <w:rPr>
          <w:bCs/>
        </w:rPr>
        <w:t>d opposition to the application and the ‘justification’ for the limitation,</w:t>
      </w:r>
      <w:r w:rsidR="0077504A" w:rsidRPr="005825D4">
        <w:rPr>
          <w:bCs/>
        </w:rPr>
        <w:t xml:space="preserve"> by way of s</w:t>
      </w:r>
      <w:r w:rsidR="00AD4C30" w:rsidRPr="005825D4">
        <w:rPr>
          <w:bCs/>
        </w:rPr>
        <w:t> </w:t>
      </w:r>
      <w:r w:rsidR="0077504A" w:rsidRPr="005825D4">
        <w:rPr>
          <w:bCs/>
        </w:rPr>
        <w:t>10(1) of PEPUDA, of</w:t>
      </w:r>
      <w:r w:rsidR="00BA78BB" w:rsidRPr="005825D4">
        <w:rPr>
          <w:bCs/>
        </w:rPr>
        <w:t xml:space="preserve"> the right to freedom of expression. </w:t>
      </w:r>
    </w:p>
    <w:p w:rsidR="00523AD3" w:rsidRPr="005825D4" w:rsidRDefault="00523AD3" w:rsidP="00A722C4">
      <w:pPr>
        <w:spacing w:line="360" w:lineRule="auto"/>
        <w:rPr>
          <w:bCs/>
          <w:sz w:val="22"/>
        </w:rPr>
      </w:pPr>
    </w:p>
    <w:p w:rsidR="000B41B8" w:rsidRPr="005825D4" w:rsidRDefault="00794654" w:rsidP="00A722C4">
      <w:pPr>
        <w:spacing w:line="360" w:lineRule="auto"/>
        <w:rPr>
          <w:bCs/>
        </w:rPr>
      </w:pPr>
      <w:r w:rsidRPr="005825D4">
        <w:rPr>
          <w:bCs/>
        </w:rPr>
        <w:t>[</w:t>
      </w:r>
      <w:r w:rsidR="006721AB" w:rsidRPr="005825D4">
        <w:rPr>
          <w:bCs/>
        </w:rPr>
        <w:t>53</w:t>
      </w:r>
      <w:r w:rsidR="000B41B8" w:rsidRPr="005825D4">
        <w:rPr>
          <w:bCs/>
        </w:rPr>
        <w:t>]</w:t>
      </w:r>
      <w:r w:rsidR="000B41B8" w:rsidRPr="005825D4">
        <w:rPr>
          <w:bCs/>
        </w:rPr>
        <w:tab/>
      </w:r>
      <w:r w:rsidR="00B978A4" w:rsidRPr="005825D4">
        <w:rPr>
          <w:bCs/>
        </w:rPr>
        <w:t>Does s </w:t>
      </w:r>
      <w:r w:rsidR="00523AD3" w:rsidRPr="005825D4">
        <w:rPr>
          <w:bCs/>
        </w:rPr>
        <w:t>10</w:t>
      </w:r>
      <w:r w:rsidR="00454056" w:rsidRPr="005825D4">
        <w:rPr>
          <w:bCs/>
        </w:rPr>
        <w:t>(1)</w:t>
      </w:r>
      <w:r w:rsidR="00523AD3" w:rsidRPr="005825D4">
        <w:rPr>
          <w:bCs/>
        </w:rPr>
        <w:t xml:space="preserve"> of PEPUDA</w:t>
      </w:r>
      <w:r w:rsidR="00400352" w:rsidRPr="005825D4">
        <w:rPr>
          <w:bCs/>
        </w:rPr>
        <w:t>,</w:t>
      </w:r>
      <w:r w:rsidR="003F44B6" w:rsidRPr="005825D4">
        <w:rPr>
          <w:bCs/>
        </w:rPr>
        <w:t xml:space="preserve"> in limiting freedom of expression</w:t>
      </w:r>
      <w:r w:rsidR="00400352" w:rsidRPr="005825D4">
        <w:rPr>
          <w:bCs/>
        </w:rPr>
        <w:t>,</w:t>
      </w:r>
      <w:r w:rsidR="00523AD3" w:rsidRPr="005825D4">
        <w:rPr>
          <w:bCs/>
        </w:rPr>
        <w:t xml:space="preserve"> </w:t>
      </w:r>
      <w:r w:rsidR="003F44B6" w:rsidRPr="005825D4">
        <w:rPr>
          <w:bCs/>
        </w:rPr>
        <w:t>extend</w:t>
      </w:r>
      <w:r w:rsidR="00523AD3" w:rsidRPr="005825D4">
        <w:rPr>
          <w:bCs/>
        </w:rPr>
        <w:t xml:space="preserve"> beyond the provision</w:t>
      </w:r>
      <w:r w:rsidR="003E1A97" w:rsidRPr="005825D4">
        <w:rPr>
          <w:bCs/>
        </w:rPr>
        <w:t>s</w:t>
      </w:r>
      <w:r w:rsidR="00B978A4" w:rsidRPr="005825D4">
        <w:rPr>
          <w:bCs/>
        </w:rPr>
        <w:t xml:space="preserve"> of s </w:t>
      </w:r>
      <w:r w:rsidR="00523AD3" w:rsidRPr="005825D4">
        <w:rPr>
          <w:bCs/>
        </w:rPr>
        <w:t>16(2)</w:t>
      </w:r>
      <w:r w:rsidR="00523AD3" w:rsidRPr="005825D4">
        <w:rPr>
          <w:bCs/>
          <w:i/>
        </w:rPr>
        <w:t>(</w:t>
      </w:r>
      <w:r w:rsidR="003E1A97" w:rsidRPr="005825D4">
        <w:rPr>
          <w:bCs/>
          <w:i/>
        </w:rPr>
        <w:t>c</w:t>
      </w:r>
      <w:r w:rsidR="00523AD3" w:rsidRPr="005825D4">
        <w:rPr>
          <w:bCs/>
          <w:i/>
        </w:rPr>
        <w:t>)</w:t>
      </w:r>
      <w:r w:rsidR="00523AD3" w:rsidRPr="005825D4">
        <w:rPr>
          <w:bCs/>
        </w:rPr>
        <w:t xml:space="preserve"> of the Constitution? The short answer is yes. </w:t>
      </w:r>
      <w:r w:rsidR="00D60CE0" w:rsidRPr="005825D4">
        <w:rPr>
          <w:bCs/>
        </w:rPr>
        <w:t>The first manifestation is that s</w:t>
      </w:r>
      <w:r w:rsidR="00B978A4" w:rsidRPr="005825D4">
        <w:rPr>
          <w:bCs/>
        </w:rPr>
        <w:t> </w:t>
      </w:r>
      <w:r w:rsidR="000B41B8" w:rsidRPr="005825D4">
        <w:rPr>
          <w:bCs/>
        </w:rPr>
        <w:t>16(2)</w:t>
      </w:r>
      <w:r w:rsidR="000B41B8" w:rsidRPr="005825D4">
        <w:rPr>
          <w:bCs/>
          <w:i/>
        </w:rPr>
        <w:t>(c)</w:t>
      </w:r>
      <w:r w:rsidR="000B41B8" w:rsidRPr="005825D4">
        <w:rPr>
          <w:bCs/>
        </w:rPr>
        <w:t xml:space="preserve"> of the Constitution does not</w:t>
      </w:r>
      <w:r w:rsidR="00BA78BB" w:rsidRPr="005825D4">
        <w:rPr>
          <w:bCs/>
        </w:rPr>
        <w:t xml:space="preserve"> </w:t>
      </w:r>
      <w:r w:rsidR="006721AB" w:rsidRPr="005825D4">
        <w:rPr>
          <w:bCs/>
        </w:rPr>
        <w:t>exclude from constitut</w:t>
      </w:r>
      <w:r w:rsidR="00B978A4" w:rsidRPr="005825D4">
        <w:rPr>
          <w:bCs/>
        </w:rPr>
        <w:t>ional protection under s </w:t>
      </w:r>
      <w:r w:rsidR="006721AB" w:rsidRPr="005825D4">
        <w:rPr>
          <w:bCs/>
        </w:rPr>
        <w:t>16(1)</w:t>
      </w:r>
      <w:r w:rsidR="000B41B8" w:rsidRPr="005825D4">
        <w:rPr>
          <w:bCs/>
        </w:rPr>
        <w:t xml:space="preserve"> the advocacy of hatred </w:t>
      </w:r>
      <w:r w:rsidR="00C75166" w:rsidRPr="005825D4">
        <w:rPr>
          <w:bCs/>
        </w:rPr>
        <w:t xml:space="preserve">that constitutes incitement to cause harm </w:t>
      </w:r>
      <w:r w:rsidR="00BA78BB" w:rsidRPr="005825D4">
        <w:rPr>
          <w:bCs/>
        </w:rPr>
        <w:t xml:space="preserve">beyond the </w:t>
      </w:r>
      <w:r w:rsidR="003B4295" w:rsidRPr="005825D4">
        <w:rPr>
          <w:bCs/>
        </w:rPr>
        <w:t>four</w:t>
      </w:r>
      <w:r w:rsidR="00BA78BB" w:rsidRPr="005825D4">
        <w:rPr>
          <w:bCs/>
        </w:rPr>
        <w:t xml:space="preserve"> stated grounds</w:t>
      </w:r>
      <w:r w:rsidR="000B41B8" w:rsidRPr="005825D4">
        <w:rPr>
          <w:bCs/>
        </w:rPr>
        <w:t xml:space="preserve"> </w:t>
      </w:r>
      <w:r w:rsidR="00C75166" w:rsidRPr="005825D4">
        <w:rPr>
          <w:bCs/>
        </w:rPr>
        <w:t>of</w:t>
      </w:r>
      <w:r w:rsidR="000B41B8" w:rsidRPr="005825D4">
        <w:rPr>
          <w:bCs/>
        </w:rPr>
        <w:t xml:space="preserve"> race, ethnicity</w:t>
      </w:r>
      <w:r w:rsidR="003B4295" w:rsidRPr="005825D4">
        <w:rPr>
          <w:bCs/>
        </w:rPr>
        <w:t>, gender</w:t>
      </w:r>
      <w:r w:rsidR="000B41B8" w:rsidRPr="005825D4">
        <w:rPr>
          <w:bCs/>
        </w:rPr>
        <w:t xml:space="preserve"> or religion.</w:t>
      </w:r>
      <w:r w:rsidR="00454056" w:rsidRPr="005825D4">
        <w:rPr>
          <w:b/>
          <w:bCs/>
        </w:rPr>
        <w:t xml:space="preserve"> </w:t>
      </w:r>
      <w:r w:rsidR="000B41B8" w:rsidRPr="005825D4">
        <w:rPr>
          <w:bCs/>
        </w:rPr>
        <w:t>Section 10</w:t>
      </w:r>
      <w:r w:rsidR="00734E97" w:rsidRPr="005825D4">
        <w:rPr>
          <w:bCs/>
        </w:rPr>
        <w:t>(1)</w:t>
      </w:r>
      <w:r w:rsidR="000B41B8" w:rsidRPr="005825D4">
        <w:rPr>
          <w:bCs/>
        </w:rPr>
        <w:t xml:space="preserve"> of PEPUDA, on the other hand, </w:t>
      </w:r>
      <w:r w:rsidR="00680DBD" w:rsidRPr="005825D4">
        <w:rPr>
          <w:bCs/>
        </w:rPr>
        <w:t xml:space="preserve">purports to </w:t>
      </w:r>
      <w:r w:rsidR="0025529B" w:rsidRPr="005825D4">
        <w:rPr>
          <w:bCs/>
        </w:rPr>
        <w:t>extend</w:t>
      </w:r>
      <w:r w:rsidR="000B41B8" w:rsidRPr="005825D4">
        <w:rPr>
          <w:bCs/>
        </w:rPr>
        <w:t xml:space="preserve"> those bases to include all of the categories set ou</w:t>
      </w:r>
      <w:r w:rsidR="00B978A4" w:rsidRPr="005825D4">
        <w:rPr>
          <w:bCs/>
        </w:rPr>
        <w:t>t under prohibited grounds in s </w:t>
      </w:r>
      <w:r w:rsidR="000B41B8" w:rsidRPr="005825D4">
        <w:rPr>
          <w:bCs/>
        </w:rPr>
        <w:t>1 of the definition, whic</w:t>
      </w:r>
      <w:r w:rsidR="00D37C7D" w:rsidRPr="005825D4">
        <w:rPr>
          <w:bCs/>
        </w:rPr>
        <w:t>h the reader will be reminded</w:t>
      </w:r>
      <w:r w:rsidR="00DF457F" w:rsidRPr="005825D4">
        <w:rPr>
          <w:bCs/>
        </w:rPr>
        <w:t>,</w:t>
      </w:r>
      <w:r w:rsidR="00D37C7D" w:rsidRPr="005825D4">
        <w:rPr>
          <w:bCs/>
        </w:rPr>
        <w:t xml:space="preserve"> are</w:t>
      </w:r>
      <w:r w:rsidR="000B41B8" w:rsidRPr="005825D4">
        <w:rPr>
          <w:bCs/>
        </w:rPr>
        <w:t xml:space="preserve"> as follows: </w:t>
      </w:r>
    </w:p>
    <w:p w:rsidR="00D37C7D" w:rsidRPr="005825D4" w:rsidRDefault="00D37C7D" w:rsidP="00A722C4">
      <w:pPr>
        <w:spacing w:line="360" w:lineRule="auto"/>
        <w:rPr>
          <w:bCs/>
          <w:sz w:val="22"/>
        </w:rPr>
      </w:pPr>
      <w:r w:rsidRPr="005825D4">
        <w:rPr>
          <w:b/>
          <w:bCs/>
          <w:sz w:val="22"/>
        </w:rPr>
        <w:t xml:space="preserve">‘prohibited grounds’ </w:t>
      </w:r>
      <w:r w:rsidRPr="005825D4">
        <w:rPr>
          <w:bCs/>
          <w:sz w:val="22"/>
        </w:rPr>
        <w:t xml:space="preserve">are – </w:t>
      </w:r>
    </w:p>
    <w:p w:rsidR="00D37C7D" w:rsidRPr="005825D4" w:rsidRDefault="00D37C7D" w:rsidP="00A722C4">
      <w:pPr>
        <w:pStyle w:val="ListParagraph"/>
        <w:numPr>
          <w:ilvl w:val="0"/>
          <w:numId w:val="3"/>
        </w:numPr>
        <w:spacing w:line="360" w:lineRule="auto"/>
        <w:jc w:val="both"/>
        <w:rPr>
          <w:rFonts w:ascii="Arial" w:hAnsi="Arial" w:cs="Arial"/>
          <w:bCs/>
          <w:i/>
          <w:sz w:val="22"/>
        </w:rPr>
      </w:pPr>
      <w:r w:rsidRPr="005825D4">
        <w:rPr>
          <w:rFonts w:ascii="Arial" w:hAnsi="Arial" w:cs="Arial"/>
          <w:bCs/>
          <w:sz w:val="22"/>
        </w:rPr>
        <w:t xml:space="preserve">race, gender, sex, pregnancy, marital status, ethnic or social origin, colour, sexual </w:t>
      </w:r>
      <w:r w:rsidR="00134DF0" w:rsidRPr="005825D4">
        <w:rPr>
          <w:rFonts w:ascii="Arial" w:hAnsi="Arial" w:cs="Arial"/>
          <w:bCs/>
          <w:sz w:val="22"/>
        </w:rPr>
        <w:t>o</w:t>
      </w:r>
      <w:r w:rsidRPr="005825D4">
        <w:rPr>
          <w:rFonts w:ascii="Arial" w:hAnsi="Arial" w:cs="Arial"/>
          <w:bCs/>
          <w:sz w:val="22"/>
        </w:rPr>
        <w:t>rientation, age, disability, religion, conscience, belief, culture, language, birth and HIV/AIDS status; or</w:t>
      </w:r>
    </w:p>
    <w:p w:rsidR="00D37C7D" w:rsidRPr="005825D4" w:rsidRDefault="00D37C7D" w:rsidP="00A722C4">
      <w:pPr>
        <w:pStyle w:val="ListParagraph"/>
        <w:numPr>
          <w:ilvl w:val="0"/>
          <w:numId w:val="3"/>
        </w:numPr>
        <w:spacing w:line="360" w:lineRule="auto"/>
        <w:rPr>
          <w:rFonts w:ascii="Arial" w:hAnsi="Arial" w:cs="Arial"/>
          <w:bCs/>
          <w:i/>
          <w:sz w:val="22"/>
        </w:rPr>
      </w:pPr>
      <w:r w:rsidRPr="005825D4">
        <w:rPr>
          <w:rFonts w:ascii="Arial" w:hAnsi="Arial" w:cs="Arial"/>
          <w:bCs/>
          <w:sz w:val="22"/>
        </w:rPr>
        <w:t xml:space="preserve">any other ground where discrimination based on that other ground – </w:t>
      </w:r>
    </w:p>
    <w:p w:rsidR="00D37C7D" w:rsidRPr="005825D4" w:rsidRDefault="009B4648" w:rsidP="00A722C4">
      <w:pPr>
        <w:pStyle w:val="ListParagraph"/>
        <w:numPr>
          <w:ilvl w:val="0"/>
          <w:numId w:val="4"/>
        </w:numPr>
        <w:spacing w:line="360" w:lineRule="auto"/>
        <w:rPr>
          <w:rFonts w:ascii="Arial" w:hAnsi="Arial" w:cs="Arial"/>
          <w:bCs/>
          <w:sz w:val="22"/>
        </w:rPr>
      </w:pPr>
      <w:r w:rsidRPr="005825D4">
        <w:rPr>
          <w:rFonts w:ascii="Arial" w:hAnsi="Arial" w:cs="Arial"/>
          <w:bCs/>
          <w:sz w:val="22"/>
        </w:rPr>
        <w:lastRenderedPageBreak/>
        <w:t>causes or perpetuates systemic disadvantage;</w:t>
      </w:r>
    </w:p>
    <w:p w:rsidR="009B4648" w:rsidRPr="005825D4" w:rsidRDefault="009B4648" w:rsidP="00A722C4">
      <w:pPr>
        <w:pStyle w:val="ListParagraph"/>
        <w:numPr>
          <w:ilvl w:val="0"/>
          <w:numId w:val="4"/>
        </w:numPr>
        <w:spacing w:line="360" w:lineRule="auto"/>
        <w:rPr>
          <w:rFonts w:ascii="Arial" w:hAnsi="Arial" w:cs="Arial"/>
          <w:bCs/>
          <w:sz w:val="22"/>
        </w:rPr>
      </w:pPr>
      <w:r w:rsidRPr="005825D4">
        <w:rPr>
          <w:rFonts w:ascii="Arial" w:hAnsi="Arial" w:cs="Arial"/>
          <w:bCs/>
          <w:sz w:val="22"/>
        </w:rPr>
        <w:t>undermines human dignity; or</w:t>
      </w:r>
    </w:p>
    <w:p w:rsidR="009B4648" w:rsidRPr="005825D4" w:rsidRDefault="009B4648" w:rsidP="00A722C4">
      <w:pPr>
        <w:pStyle w:val="ListParagraph"/>
        <w:numPr>
          <w:ilvl w:val="0"/>
          <w:numId w:val="4"/>
        </w:numPr>
        <w:spacing w:line="360" w:lineRule="auto"/>
        <w:rPr>
          <w:rFonts w:ascii="Arial" w:hAnsi="Arial" w:cs="Arial"/>
          <w:bCs/>
          <w:sz w:val="22"/>
        </w:rPr>
      </w:pPr>
      <w:r w:rsidRPr="005825D4">
        <w:rPr>
          <w:rFonts w:ascii="Arial" w:hAnsi="Arial" w:cs="Arial"/>
          <w:bCs/>
          <w:sz w:val="22"/>
        </w:rPr>
        <w:t xml:space="preserve">adversely affects the equal enjoyment of a person’s rights and freedoms in a serious manner that is comparable to discrimination on a ground in paragraph </w:t>
      </w:r>
      <w:r w:rsidRPr="005825D4">
        <w:rPr>
          <w:rFonts w:ascii="Arial" w:hAnsi="Arial" w:cs="Arial"/>
          <w:bCs/>
          <w:i/>
          <w:sz w:val="22"/>
        </w:rPr>
        <w:t>(a)</w:t>
      </w:r>
      <w:r w:rsidRPr="005825D4">
        <w:rPr>
          <w:rFonts w:ascii="Arial" w:hAnsi="Arial" w:cs="Arial"/>
          <w:bCs/>
          <w:sz w:val="22"/>
        </w:rPr>
        <w:t>.’</w:t>
      </w:r>
    </w:p>
    <w:p w:rsidR="007E211D" w:rsidRPr="005825D4" w:rsidRDefault="007E211D" w:rsidP="00A722C4">
      <w:pPr>
        <w:spacing w:line="360" w:lineRule="auto"/>
        <w:rPr>
          <w:bCs/>
        </w:rPr>
      </w:pPr>
    </w:p>
    <w:p w:rsidR="003B4295" w:rsidRPr="005825D4" w:rsidRDefault="007C1096" w:rsidP="00A722C4">
      <w:pPr>
        <w:spacing w:line="360" w:lineRule="auto"/>
        <w:rPr>
          <w:bCs/>
        </w:rPr>
      </w:pPr>
      <w:r w:rsidRPr="005825D4">
        <w:rPr>
          <w:bCs/>
        </w:rPr>
        <w:t>[5</w:t>
      </w:r>
      <w:r w:rsidR="006721AB" w:rsidRPr="005825D4">
        <w:rPr>
          <w:bCs/>
        </w:rPr>
        <w:t>4</w:t>
      </w:r>
      <w:r w:rsidR="003B4295" w:rsidRPr="005825D4">
        <w:rPr>
          <w:bCs/>
        </w:rPr>
        <w:t>]</w:t>
      </w:r>
      <w:r w:rsidR="003B4295" w:rsidRPr="005825D4">
        <w:rPr>
          <w:bCs/>
        </w:rPr>
        <w:tab/>
      </w:r>
      <w:r w:rsidR="00132AB1" w:rsidRPr="005825D4">
        <w:rPr>
          <w:bCs/>
        </w:rPr>
        <w:t xml:space="preserve">The first question therefore is whether the extension of ‘prohibited grounds’ to include sexual orientation is constitutionally permissible. </w:t>
      </w:r>
      <w:r w:rsidR="00454056" w:rsidRPr="005825D4">
        <w:rPr>
          <w:bCs/>
        </w:rPr>
        <w:t>In relation to the extension of ‘prohibited’ g</w:t>
      </w:r>
      <w:r w:rsidR="00B978A4" w:rsidRPr="005825D4">
        <w:rPr>
          <w:bCs/>
        </w:rPr>
        <w:t>rounds beyond those stated in s </w:t>
      </w:r>
      <w:r w:rsidR="00454056" w:rsidRPr="005825D4">
        <w:rPr>
          <w:bCs/>
        </w:rPr>
        <w:t>16(2), it is necessary to have regard to s</w:t>
      </w:r>
      <w:r w:rsidR="003B4295" w:rsidRPr="005825D4">
        <w:rPr>
          <w:bCs/>
        </w:rPr>
        <w:t xml:space="preserve"> 9 of the Constitution</w:t>
      </w:r>
      <w:r w:rsidR="00454056" w:rsidRPr="005825D4">
        <w:rPr>
          <w:bCs/>
        </w:rPr>
        <w:t>, which</w:t>
      </w:r>
      <w:r w:rsidR="003B4295" w:rsidRPr="005825D4">
        <w:rPr>
          <w:bCs/>
        </w:rPr>
        <w:t xml:space="preserve"> is the equality provision. Section 9(4) obliged the State to enact legislation to prevent or prohibit unfair discrimination. Item 23(1) of Schedul</w:t>
      </w:r>
      <w:r w:rsidR="00EC0F1C" w:rsidRPr="005825D4">
        <w:rPr>
          <w:bCs/>
        </w:rPr>
        <w:t>e 6 of the Constitution provided</w:t>
      </w:r>
      <w:r w:rsidR="003B4295" w:rsidRPr="005825D4">
        <w:rPr>
          <w:bCs/>
        </w:rPr>
        <w:t xml:space="preserve"> a timeline of three years</w:t>
      </w:r>
      <w:r w:rsidR="009B146A" w:rsidRPr="005825D4">
        <w:rPr>
          <w:bCs/>
        </w:rPr>
        <w:t>,</w:t>
      </w:r>
      <w:r w:rsidR="003B4295" w:rsidRPr="005825D4">
        <w:rPr>
          <w:bCs/>
        </w:rPr>
        <w:t xml:space="preserve"> within which such legislation should be enacted. The long title of PEPUDA is in line with those commendable ends. It reads as follows:</w:t>
      </w:r>
    </w:p>
    <w:p w:rsidR="003B4295" w:rsidRPr="005825D4" w:rsidRDefault="003B4295" w:rsidP="00A722C4">
      <w:pPr>
        <w:spacing w:line="360" w:lineRule="auto"/>
        <w:rPr>
          <w:bCs/>
          <w:sz w:val="22"/>
        </w:rPr>
      </w:pPr>
      <w:r w:rsidRPr="005825D4">
        <w:rPr>
          <w:bCs/>
          <w:sz w:val="22"/>
        </w:rPr>
        <w:t>‘To give effect to section 9 read with item 23(1) of Schedule 6 to the Constitution of the Republic of South Africa, 1996, so as to prevent and prohibit unfair discrimination and harassment; to promote equality and eliminate unfair discrimination; to prevent and prohibit hate speech; and to provide for matters connected therewith.’</w:t>
      </w:r>
    </w:p>
    <w:p w:rsidR="003B4295" w:rsidRPr="005825D4" w:rsidRDefault="003B4295" w:rsidP="00A722C4">
      <w:pPr>
        <w:spacing w:line="360" w:lineRule="auto"/>
        <w:rPr>
          <w:bCs/>
        </w:rPr>
      </w:pPr>
    </w:p>
    <w:p w:rsidR="003B4295" w:rsidRPr="005825D4" w:rsidRDefault="006721AB" w:rsidP="00A722C4">
      <w:pPr>
        <w:spacing w:line="360" w:lineRule="auto"/>
        <w:rPr>
          <w:bCs/>
        </w:rPr>
      </w:pPr>
      <w:r w:rsidRPr="005825D4">
        <w:rPr>
          <w:bCs/>
        </w:rPr>
        <w:t>[55</w:t>
      </w:r>
      <w:r w:rsidR="003B4295" w:rsidRPr="005825D4">
        <w:rPr>
          <w:bCs/>
        </w:rPr>
        <w:t>]</w:t>
      </w:r>
      <w:r w:rsidR="003B4295" w:rsidRPr="005825D4">
        <w:rPr>
          <w:bCs/>
        </w:rPr>
        <w:tab/>
        <w:t>The objects of PEPUDA are set out in s</w:t>
      </w:r>
      <w:r w:rsidR="00B978A4" w:rsidRPr="005825D4">
        <w:rPr>
          <w:bCs/>
        </w:rPr>
        <w:t> </w:t>
      </w:r>
      <w:r w:rsidR="003B4295" w:rsidRPr="005825D4">
        <w:rPr>
          <w:bCs/>
        </w:rPr>
        <w:t>2 of that legislation as follows:</w:t>
      </w:r>
    </w:p>
    <w:p w:rsidR="003B4295" w:rsidRPr="005825D4" w:rsidRDefault="003B4295" w:rsidP="00A722C4">
      <w:pPr>
        <w:spacing w:line="360" w:lineRule="auto"/>
        <w:rPr>
          <w:bCs/>
          <w:sz w:val="22"/>
        </w:rPr>
      </w:pPr>
      <w:r w:rsidRPr="005825D4">
        <w:rPr>
          <w:bCs/>
          <w:sz w:val="22"/>
        </w:rPr>
        <w:t xml:space="preserve">‘The objects of this Act are – </w:t>
      </w:r>
    </w:p>
    <w:p w:rsidR="003B4295" w:rsidRPr="005825D4" w:rsidRDefault="003B4295" w:rsidP="00A722C4">
      <w:pPr>
        <w:spacing w:line="360" w:lineRule="auto"/>
        <w:rPr>
          <w:bCs/>
          <w:sz w:val="22"/>
        </w:rPr>
      </w:pPr>
      <w:r w:rsidRPr="005825D4">
        <w:rPr>
          <w:bCs/>
          <w:i/>
          <w:sz w:val="22"/>
        </w:rPr>
        <w:t xml:space="preserve">(a) </w:t>
      </w:r>
      <w:r w:rsidRPr="005825D4">
        <w:rPr>
          <w:bCs/>
          <w:sz w:val="22"/>
        </w:rPr>
        <w:t xml:space="preserve">to enact legislation required by section 9 of the Constitution; </w:t>
      </w:r>
    </w:p>
    <w:p w:rsidR="003B4295" w:rsidRPr="005825D4" w:rsidRDefault="003B4295" w:rsidP="00A722C4">
      <w:pPr>
        <w:spacing w:line="360" w:lineRule="auto"/>
        <w:rPr>
          <w:bCs/>
          <w:sz w:val="22"/>
        </w:rPr>
      </w:pPr>
      <w:r w:rsidRPr="005825D4">
        <w:rPr>
          <w:bCs/>
          <w:i/>
          <w:sz w:val="22"/>
        </w:rPr>
        <w:t xml:space="preserve">(b) </w:t>
      </w:r>
      <w:r w:rsidRPr="005825D4">
        <w:rPr>
          <w:bCs/>
          <w:sz w:val="22"/>
        </w:rPr>
        <w:t>to give effect to the letter and spirit of the Constitution, in particular –</w:t>
      </w:r>
    </w:p>
    <w:p w:rsidR="003B4295" w:rsidRPr="005825D4" w:rsidRDefault="003B4295" w:rsidP="00A722C4">
      <w:pPr>
        <w:spacing w:line="360" w:lineRule="auto"/>
        <w:rPr>
          <w:bCs/>
          <w:sz w:val="22"/>
        </w:rPr>
      </w:pPr>
      <w:r w:rsidRPr="005825D4">
        <w:rPr>
          <w:bCs/>
          <w:sz w:val="22"/>
        </w:rPr>
        <w:t>(i) the equal enjoyment of all rights and freedoms by every person</w:t>
      </w:r>
      <w:r w:rsidR="00EC0F1C" w:rsidRPr="005825D4">
        <w:rPr>
          <w:bCs/>
          <w:sz w:val="22"/>
        </w:rPr>
        <w:t>;</w:t>
      </w:r>
    </w:p>
    <w:p w:rsidR="003B4295" w:rsidRPr="005825D4" w:rsidRDefault="003B4295" w:rsidP="00A722C4">
      <w:pPr>
        <w:spacing w:line="360" w:lineRule="auto"/>
        <w:rPr>
          <w:bCs/>
          <w:sz w:val="22"/>
        </w:rPr>
      </w:pPr>
      <w:r w:rsidRPr="005825D4">
        <w:rPr>
          <w:bCs/>
          <w:sz w:val="22"/>
        </w:rPr>
        <w:t>(ii) the promotion of equality;</w:t>
      </w:r>
    </w:p>
    <w:p w:rsidR="003B4295" w:rsidRPr="005825D4" w:rsidRDefault="003B4295" w:rsidP="00A722C4">
      <w:pPr>
        <w:spacing w:line="360" w:lineRule="auto"/>
        <w:rPr>
          <w:bCs/>
          <w:sz w:val="22"/>
        </w:rPr>
      </w:pPr>
      <w:r w:rsidRPr="005825D4">
        <w:rPr>
          <w:bCs/>
          <w:sz w:val="22"/>
        </w:rPr>
        <w:t>(iii) the values of non-racialism and non-sexism contained in section 1 of the Constitution;</w:t>
      </w:r>
    </w:p>
    <w:p w:rsidR="003B4295" w:rsidRPr="005825D4" w:rsidRDefault="003B4295" w:rsidP="00A722C4">
      <w:pPr>
        <w:spacing w:line="360" w:lineRule="auto"/>
        <w:rPr>
          <w:bCs/>
          <w:sz w:val="22"/>
        </w:rPr>
      </w:pPr>
      <w:r w:rsidRPr="005825D4">
        <w:rPr>
          <w:bCs/>
          <w:sz w:val="22"/>
        </w:rPr>
        <w:t>(iv) the prevention of unfair discrimination and protection of human dignity as contemplated in sections 9 and 10 of the Constitution;</w:t>
      </w:r>
    </w:p>
    <w:p w:rsidR="003B4295" w:rsidRPr="005825D4" w:rsidRDefault="003B4295" w:rsidP="00A722C4">
      <w:pPr>
        <w:spacing w:line="360" w:lineRule="auto"/>
        <w:rPr>
          <w:bCs/>
          <w:sz w:val="22"/>
        </w:rPr>
      </w:pPr>
      <w:r w:rsidRPr="005825D4">
        <w:rPr>
          <w:bCs/>
          <w:sz w:val="22"/>
        </w:rPr>
        <w:t>(v) the prohibition of advocacy of hatred, based on race, ethnicity, gender or religion, that constitutes incitement to cause harm as contemplated in section 16(2)</w:t>
      </w:r>
      <w:r w:rsidRPr="005825D4">
        <w:rPr>
          <w:bCs/>
          <w:i/>
          <w:sz w:val="22"/>
        </w:rPr>
        <w:t>(c)</w:t>
      </w:r>
      <w:r w:rsidRPr="005825D4">
        <w:rPr>
          <w:bCs/>
          <w:sz w:val="22"/>
        </w:rPr>
        <w:t xml:space="preserve"> of the Constitution and section 12 of this Act;</w:t>
      </w:r>
    </w:p>
    <w:p w:rsidR="003B4295" w:rsidRPr="005825D4" w:rsidRDefault="003B4295" w:rsidP="00A722C4">
      <w:pPr>
        <w:spacing w:line="360" w:lineRule="auto"/>
        <w:rPr>
          <w:bCs/>
          <w:sz w:val="22"/>
        </w:rPr>
      </w:pPr>
      <w:r w:rsidRPr="005825D4">
        <w:rPr>
          <w:bCs/>
          <w:i/>
          <w:sz w:val="22"/>
        </w:rPr>
        <w:t>(c)</w:t>
      </w:r>
      <w:r w:rsidRPr="005825D4">
        <w:rPr>
          <w:bCs/>
          <w:sz w:val="22"/>
        </w:rPr>
        <w:t xml:space="preserve"> to provide for measures to facilitate the eradication of unfair discrimination, hate speech and harassment, particularly on the grounds of race, gender and disability;</w:t>
      </w:r>
    </w:p>
    <w:p w:rsidR="003B4295" w:rsidRPr="005825D4" w:rsidRDefault="003B4295" w:rsidP="00A722C4">
      <w:pPr>
        <w:spacing w:line="360" w:lineRule="auto"/>
        <w:rPr>
          <w:bCs/>
          <w:sz w:val="22"/>
        </w:rPr>
      </w:pPr>
      <w:r w:rsidRPr="005825D4">
        <w:rPr>
          <w:bCs/>
          <w:i/>
          <w:sz w:val="22"/>
        </w:rPr>
        <w:t xml:space="preserve">(d) </w:t>
      </w:r>
      <w:r w:rsidRPr="005825D4">
        <w:rPr>
          <w:bCs/>
          <w:sz w:val="22"/>
        </w:rPr>
        <w:t>to provide for procedures for the determination of circumstances under which discrimination is unfair;</w:t>
      </w:r>
    </w:p>
    <w:p w:rsidR="003B4295" w:rsidRPr="005825D4" w:rsidRDefault="003B4295" w:rsidP="00A722C4">
      <w:pPr>
        <w:spacing w:line="360" w:lineRule="auto"/>
        <w:rPr>
          <w:bCs/>
          <w:sz w:val="22"/>
        </w:rPr>
      </w:pPr>
      <w:r w:rsidRPr="005825D4">
        <w:rPr>
          <w:bCs/>
          <w:i/>
          <w:sz w:val="22"/>
        </w:rPr>
        <w:lastRenderedPageBreak/>
        <w:t>(e)</w:t>
      </w:r>
      <w:r w:rsidRPr="005825D4">
        <w:rPr>
          <w:bCs/>
          <w:sz w:val="22"/>
        </w:rPr>
        <w:t xml:space="preserve"> to provide for measures to educate the public and raise public awareness on the importance of promoting equality and overcoming unfair discrimination, hate speech and harassment;</w:t>
      </w:r>
    </w:p>
    <w:p w:rsidR="003B4295" w:rsidRPr="005825D4" w:rsidRDefault="003B4295" w:rsidP="00A722C4">
      <w:pPr>
        <w:spacing w:line="360" w:lineRule="auto"/>
        <w:rPr>
          <w:bCs/>
          <w:sz w:val="22"/>
        </w:rPr>
      </w:pPr>
      <w:r w:rsidRPr="005825D4">
        <w:rPr>
          <w:bCs/>
          <w:i/>
          <w:sz w:val="22"/>
        </w:rPr>
        <w:t xml:space="preserve">(f) </w:t>
      </w:r>
      <w:r w:rsidRPr="005825D4">
        <w:rPr>
          <w:bCs/>
          <w:sz w:val="22"/>
        </w:rPr>
        <w:t>to provide remedies for victims of unfair discrimination, hate speech and harassment and persons whose right to equality has been infringed;</w:t>
      </w:r>
    </w:p>
    <w:p w:rsidR="003B4295" w:rsidRPr="005825D4" w:rsidRDefault="003B4295" w:rsidP="00A722C4">
      <w:pPr>
        <w:spacing w:line="360" w:lineRule="auto"/>
        <w:rPr>
          <w:bCs/>
          <w:sz w:val="22"/>
        </w:rPr>
      </w:pPr>
      <w:r w:rsidRPr="005825D4">
        <w:rPr>
          <w:bCs/>
          <w:i/>
          <w:sz w:val="22"/>
        </w:rPr>
        <w:t xml:space="preserve">(g) </w:t>
      </w:r>
      <w:r w:rsidRPr="005825D4">
        <w:rPr>
          <w:bCs/>
          <w:sz w:val="22"/>
        </w:rPr>
        <w:t>to set out measures to advance persons disadvantaged by unfair discrimination;</w:t>
      </w:r>
    </w:p>
    <w:p w:rsidR="003B4295" w:rsidRPr="005825D4" w:rsidRDefault="003B4295" w:rsidP="00A722C4">
      <w:pPr>
        <w:spacing w:line="360" w:lineRule="auto"/>
        <w:rPr>
          <w:bCs/>
          <w:sz w:val="22"/>
        </w:rPr>
      </w:pPr>
      <w:r w:rsidRPr="005825D4">
        <w:rPr>
          <w:bCs/>
          <w:i/>
          <w:sz w:val="22"/>
        </w:rPr>
        <w:t xml:space="preserve">(h) </w:t>
      </w:r>
      <w:r w:rsidRPr="005825D4">
        <w:rPr>
          <w:bCs/>
          <w:sz w:val="22"/>
        </w:rPr>
        <w:t xml:space="preserve">to facilitate further compliance with international law obligations including treaty obligations in terms of, amongst others, the Convention on the Elimination of All Forms of Racial Discrimination </w:t>
      </w:r>
      <w:r w:rsidR="007F1C06" w:rsidRPr="005825D4">
        <w:rPr>
          <w:bCs/>
          <w:sz w:val="22"/>
        </w:rPr>
        <w:t xml:space="preserve">and the Convention on the Elimination of all Forms of Discrimination </w:t>
      </w:r>
      <w:r w:rsidRPr="005825D4">
        <w:rPr>
          <w:bCs/>
          <w:sz w:val="22"/>
        </w:rPr>
        <w:t>against Women.’</w:t>
      </w:r>
    </w:p>
    <w:p w:rsidR="00CB6878" w:rsidRPr="005825D4" w:rsidRDefault="00CB6878" w:rsidP="00A722C4">
      <w:pPr>
        <w:spacing w:line="360" w:lineRule="auto"/>
        <w:rPr>
          <w:bCs/>
        </w:rPr>
      </w:pPr>
    </w:p>
    <w:p w:rsidR="00CB6878" w:rsidRPr="005825D4" w:rsidRDefault="006721AB" w:rsidP="00A722C4">
      <w:pPr>
        <w:spacing w:line="360" w:lineRule="auto"/>
        <w:rPr>
          <w:bCs/>
        </w:rPr>
      </w:pPr>
      <w:r w:rsidRPr="005825D4">
        <w:rPr>
          <w:bCs/>
        </w:rPr>
        <w:t>[56</w:t>
      </w:r>
      <w:r w:rsidR="00CB6878" w:rsidRPr="005825D4">
        <w:rPr>
          <w:bCs/>
        </w:rPr>
        <w:t>]</w:t>
      </w:r>
      <w:r w:rsidR="00CB6878" w:rsidRPr="005825D4">
        <w:rPr>
          <w:bCs/>
        </w:rPr>
        <w:tab/>
        <w:t>Section 3 of PEPUDA, which deals with its interpretation, provides, inter alia, that any person interpreting this Act may be mindful of international law, particularly the internatio</w:t>
      </w:r>
      <w:r w:rsidR="00B978A4" w:rsidRPr="005825D4">
        <w:rPr>
          <w:bCs/>
        </w:rPr>
        <w:t>nal agreements referred to in s </w:t>
      </w:r>
      <w:r w:rsidR="00CB6878" w:rsidRPr="005825D4">
        <w:rPr>
          <w:bCs/>
        </w:rPr>
        <w:t>2 and customary international law, as well as comparable foreign law.</w:t>
      </w:r>
      <w:r w:rsidR="00CB6878" w:rsidRPr="005825D4">
        <w:rPr>
          <w:rStyle w:val="FootnoteReference"/>
          <w:bCs/>
        </w:rPr>
        <w:footnoteReference w:id="33"/>
      </w:r>
      <w:r w:rsidR="00CB6878" w:rsidRPr="005825D4">
        <w:rPr>
          <w:bCs/>
        </w:rPr>
        <w:t xml:space="preserve"> I shall, in due course, </w:t>
      </w:r>
      <w:r w:rsidR="00454056" w:rsidRPr="005825D4">
        <w:rPr>
          <w:bCs/>
        </w:rPr>
        <w:t xml:space="preserve">when </w:t>
      </w:r>
      <w:r w:rsidR="00D26A30" w:rsidRPr="005825D4">
        <w:rPr>
          <w:bCs/>
        </w:rPr>
        <w:t>considering</w:t>
      </w:r>
      <w:r w:rsidR="00B978A4" w:rsidRPr="005825D4">
        <w:rPr>
          <w:bCs/>
        </w:rPr>
        <w:t xml:space="preserve"> whether s </w:t>
      </w:r>
      <w:r w:rsidR="00FF3478" w:rsidRPr="005825D4">
        <w:rPr>
          <w:bCs/>
        </w:rPr>
        <w:t>10(1) of PEPUDA</w:t>
      </w:r>
      <w:r w:rsidR="00454056" w:rsidRPr="005825D4">
        <w:rPr>
          <w:bCs/>
        </w:rPr>
        <w:t xml:space="preserve">, in </w:t>
      </w:r>
      <w:r w:rsidR="00D26A30" w:rsidRPr="005825D4">
        <w:rPr>
          <w:bCs/>
        </w:rPr>
        <w:t>its comprehensive</w:t>
      </w:r>
      <w:r w:rsidR="00454056" w:rsidRPr="005825D4">
        <w:rPr>
          <w:bCs/>
        </w:rPr>
        <w:t xml:space="preserve"> form, </w:t>
      </w:r>
      <w:r w:rsidR="008C34C8" w:rsidRPr="005825D4">
        <w:rPr>
          <w:bCs/>
        </w:rPr>
        <w:t xml:space="preserve">is </w:t>
      </w:r>
      <w:r w:rsidR="00454056" w:rsidRPr="005825D4">
        <w:rPr>
          <w:bCs/>
        </w:rPr>
        <w:t>a justifiable limitation of the right to freedom of expression</w:t>
      </w:r>
      <w:r w:rsidR="00225766" w:rsidRPr="005825D4">
        <w:rPr>
          <w:bCs/>
        </w:rPr>
        <w:t>,</w:t>
      </w:r>
      <w:r w:rsidR="00454056" w:rsidRPr="005825D4">
        <w:rPr>
          <w:bCs/>
        </w:rPr>
        <w:t xml:space="preserve"> </w:t>
      </w:r>
      <w:r w:rsidR="00CB6878" w:rsidRPr="005825D4">
        <w:rPr>
          <w:bCs/>
        </w:rPr>
        <w:t>deal with relevant foreign case law.</w:t>
      </w:r>
    </w:p>
    <w:p w:rsidR="00DA6521" w:rsidRPr="005825D4" w:rsidRDefault="00DA6521" w:rsidP="00A722C4">
      <w:pPr>
        <w:spacing w:line="360" w:lineRule="auto"/>
        <w:rPr>
          <w:bCs/>
        </w:rPr>
      </w:pPr>
    </w:p>
    <w:p w:rsidR="00DA6521" w:rsidRPr="005825D4" w:rsidRDefault="00DA6521" w:rsidP="00A722C4">
      <w:pPr>
        <w:spacing w:line="360" w:lineRule="auto"/>
        <w:rPr>
          <w:bCs/>
        </w:rPr>
      </w:pPr>
      <w:r w:rsidRPr="005825D4">
        <w:rPr>
          <w:bCs/>
        </w:rPr>
        <w:t>[5</w:t>
      </w:r>
      <w:r w:rsidR="006721AB" w:rsidRPr="005825D4">
        <w:rPr>
          <w:bCs/>
        </w:rPr>
        <w:t>7</w:t>
      </w:r>
      <w:r w:rsidRPr="005825D4">
        <w:rPr>
          <w:bCs/>
        </w:rPr>
        <w:t>]</w:t>
      </w:r>
      <w:r w:rsidRPr="005825D4">
        <w:rPr>
          <w:bCs/>
        </w:rPr>
        <w:tab/>
        <w:t>International treaties and covena</w:t>
      </w:r>
      <w:r w:rsidR="009D777A" w:rsidRPr="005825D4">
        <w:rPr>
          <w:bCs/>
        </w:rPr>
        <w:t>nts to which we are signatories provide for</w:t>
      </w:r>
      <w:r w:rsidRPr="005825D4">
        <w:rPr>
          <w:bCs/>
        </w:rPr>
        <w:t xml:space="preserve"> protection</w:t>
      </w:r>
      <w:r w:rsidR="00454056" w:rsidRPr="005825D4">
        <w:rPr>
          <w:bCs/>
        </w:rPr>
        <w:t xml:space="preserve"> against discrimination</w:t>
      </w:r>
      <w:r w:rsidRPr="005825D4">
        <w:rPr>
          <w:bCs/>
        </w:rPr>
        <w:t xml:space="preserve"> and also the regulation of hate speech.</w:t>
      </w:r>
      <w:r w:rsidRPr="005825D4">
        <w:rPr>
          <w:rStyle w:val="FootnoteReference"/>
          <w:bCs/>
        </w:rPr>
        <w:footnoteReference w:id="34"/>
      </w:r>
      <w:r w:rsidRPr="005825D4">
        <w:rPr>
          <w:bCs/>
        </w:rPr>
        <w:t xml:space="preserve"> The Universal Declaration of Human Rights (UDHR)</w:t>
      </w:r>
      <w:r w:rsidR="008A61A5" w:rsidRPr="005825D4">
        <w:rPr>
          <w:rStyle w:val="FootnoteReference"/>
          <w:bCs/>
        </w:rPr>
        <w:footnoteReference w:id="35"/>
      </w:r>
      <w:r w:rsidRPr="005825D4">
        <w:rPr>
          <w:bCs/>
        </w:rPr>
        <w:t xml:space="preserve"> recognises the inherent dignity and equality amongst the human family</w:t>
      </w:r>
      <w:r w:rsidRPr="005825D4">
        <w:rPr>
          <w:rStyle w:val="FootnoteReference"/>
          <w:bCs/>
        </w:rPr>
        <w:footnoteReference w:id="36"/>
      </w:r>
      <w:r w:rsidRPr="005825D4">
        <w:rPr>
          <w:bCs/>
        </w:rPr>
        <w:t xml:space="preserve"> and states that individual liberties such as freedom of expression may be limited to secure ‘due recognition and respect for the rights and freedoms of others and of meeting just requirements of morality, public order and general welfare in a democratic society’.</w:t>
      </w:r>
      <w:r w:rsidR="002B66CB" w:rsidRPr="005825D4">
        <w:rPr>
          <w:rStyle w:val="FootnoteReference"/>
          <w:bCs/>
        </w:rPr>
        <w:footnoteReference w:id="37"/>
      </w:r>
      <w:r w:rsidRPr="005825D4">
        <w:rPr>
          <w:bCs/>
        </w:rPr>
        <w:t xml:space="preserve"> The UDHR also provides that all people are entitled to equal protection against any discrimination and against any incitement to such di</w:t>
      </w:r>
      <w:r w:rsidR="006721AB" w:rsidRPr="005825D4">
        <w:rPr>
          <w:bCs/>
        </w:rPr>
        <w:t>scrimination.</w:t>
      </w:r>
      <w:r w:rsidR="002B66CB" w:rsidRPr="005825D4">
        <w:rPr>
          <w:rStyle w:val="FootnoteReference"/>
          <w:bCs/>
        </w:rPr>
        <w:footnoteReference w:id="38"/>
      </w:r>
      <w:r w:rsidR="006721AB" w:rsidRPr="005825D4">
        <w:rPr>
          <w:bCs/>
        </w:rPr>
        <w:t xml:space="preserve"> </w:t>
      </w:r>
    </w:p>
    <w:p w:rsidR="006721AB" w:rsidRPr="005825D4" w:rsidRDefault="006721AB" w:rsidP="00A722C4">
      <w:pPr>
        <w:spacing w:line="360" w:lineRule="auto"/>
        <w:rPr>
          <w:bCs/>
        </w:rPr>
      </w:pPr>
    </w:p>
    <w:p w:rsidR="00DA6521" w:rsidRPr="005825D4" w:rsidRDefault="00DA6521" w:rsidP="00A722C4">
      <w:pPr>
        <w:spacing w:line="360" w:lineRule="auto"/>
        <w:rPr>
          <w:bCs/>
        </w:rPr>
      </w:pPr>
      <w:r w:rsidRPr="005825D4">
        <w:rPr>
          <w:bCs/>
        </w:rPr>
        <w:t>[5</w:t>
      </w:r>
      <w:r w:rsidR="006721AB" w:rsidRPr="005825D4">
        <w:rPr>
          <w:bCs/>
        </w:rPr>
        <w:t>8</w:t>
      </w:r>
      <w:r w:rsidRPr="005825D4">
        <w:rPr>
          <w:bCs/>
        </w:rPr>
        <w:t>]</w:t>
      </w:r>
      <w:r w:rsidRPr="005825D4">
        <w:rPr>
          <w:bCs/>
        </w:rPr>
        <w:tab/>
        <w:t>Article 19 of the International Covenant on Civil and Political Rights (the ICCPR)</w:t>
      </w:r>
      <w:r w:rsidRPr="005825D4">
        <w:rPr>
          <w:rStyle w:val="FootnoteReference"/>
          <w:bCs/>
        </w:rPr>
        <w:footnoteReference w:id="39"/>
      </w:r>
      <w:r w:rsidRPr="005825D4">
        <w:rPr>
          <w:bCs/>
        </w:rPr>
        <w:t xml:space="preserve"> provides for the right to freedom of expression, but restricts that right when necessary. Article 20 limits expression if it is hate speech. It provides that ‘[a]ny advocacy of national, racial or religious hatred that constitutes incitement to discrimination, hostility or violence shall be prohibited by law’. Article 2(2) of the ICCPR calls upon state parties to adopt legislation to enforce those provisions. The </w:t>
      </w:r>
      <w:r w:rsidR="00DF711B" w:rsidRPr="005825D4">
        <w:rPr>
          <w:bCs/>
        </w:rPr>
        <w:t xml:space="preserve">European </w:t>
      </w:r>
      <w:r w:rsidRPr="005825D4">
        <w:rPr>
          <w:bCs/>
        </w:rPr>
        <w:t>Convention for the Protection of Human Rights and Fundamental Freedoms (</w:t>
      </w:r>
      <w:r w:rsidR="00D6291C" w:rsidRPr="005825D4">
        <w:rPr>
          <w:bCs/>
        </w:rPr>
        <w:t>E</w:t>
      </w:r>
      <w:r w:rsidRPr="005825D4">
        <w:rPr>
          <w:bCs/>
        </w:rPr>
        <w:t>CPHRFF),</w:t>
      </w:r>
      <w:r w:rsidR="00DF711B" w:rsidRPr="005825D4">
        <w:rPr>
          <w:rStyle w:val="FootnoteReference"/>
          <w:bCs/>
        </w:rPr>
        <w:footnoteReference w:id="40"/>
      </w:r>
      <w:r w:rsidRPr="005825D4">
        <w:rPr>
          <w:bCs/>
        </w:rPr>
        <w:t xml:space="preserve"> applicable to the European Union, confirms the dangers of hate speech and requires ratifying states to ensure its prevention and punishment. </w:t>
      </w:r>
    </w:p>
    <w:p w:rsidR="003B4295" w:rsidRPr="005825D4" w:rsidRDefault="003B4295" w:rsidP="00A722C4">
      <w:pPr>
        <w:spacing w:line="360" w:lineRule="auto"/>
        <w:rPr>
          <w:bCs/>
        </w:rPr>
      </w:pPr>
    </w:p>
    <w:p w:rsidR="00C71321" w:rsidRPr="005825D4" w:rsidRDefault="00794654" w:rsidP="00A722C4">
      <w:pPr>
        <w:spacing w:line="360" w:lineRule="auto"/>
        <w:rPr>
          <w:bCs/>
        </w:rPr>
      </w:pPr>
      <w:r w:rsidRPr="005825D4">
        <w:rPr>
          <w:bCs/>
        </w:rPr>
        <w:t>[5</w:t>
      </w:r>
      <w:r w:rsidR="006721AB" w:rsidRPr="005825D4">
        <w:rPr>
          <w:bCs/>
        </w:rPr>
        <w:t>9</w:t>
      </w:r>
      <w:r w:rsidR="007E211D" w:rsidRPr="005825D4">
        <w:rPr>
          <w:bCs/>
        </w:rPr>
        <w:t>]</w:t>
      </w:r>
      <w:r w:rsidR="00A37626" w:rsidRPr="005825D4">
        <w:rPr>
          <w:bCs/>
        </w:rPr>
        <w:tab/>
      </w:r>
      <w:r w:rsidR="003B4295" w:rsidRPr="005825D4">
        <w:rPr>
          <w:bCs/>
        </w:rPr>
        <w:t>Thus, t</w:t>
      </w:r>
      <w:r w:rsidR="007F457D" w:rsidRPr="005825D4">
        <w:rPr>
          <w:bCs/>
        </w:rPr>
        <w:t>he State has a legitimate interest in promoting equality</w:t>
      </w:r>
      <w:r w:rsidR="00AE56A7" w:rsidRPr="005825D4">
        <w:rPr>
          <w:bCs/>
        </w:rPr>
        <w:t xml:space="preserve"> and prohibiting hate speech that impinges on equality</w:t>
      </w:r>
      <w:r w:rsidR="007F457D" w:rsidRPr="005825D4">
        <w:rPr>
          <w:bCs/>
        </w:rPr>
        <w:t xml:space="preserve">. </w:t>
      </w:r>
      <w:r w:rsidR="00680DBD" w:rsidRPr="005825D4">
        <w:rPr>
          <w:bCs/>
        </w:rPr>
        <w:t>There can be no doubt that the State has an interest in extending the protection against discrimination</w:t>
      </w:r>
      <w:r w:rsidR="00FE3F5A" w:rsidRPr="005825D4">
        <w:rPr>
          <w:bCs/>
        </w:rPr>
        <w:t>, to include</w:t>
      </w:r>
      <w:r w:rsidR="007F457D" w:rsidRPr="005825D4">
        <w:rPr>
          <w:bCs/>
        </w:rPr>
        <w:t xml:space="preserve"> protection against discrimination based on</w:t>
      </w:r>
      <w:r w:rsidR="00FE3F5A" w:rsidRPr="005825D4">
        <w:rPr>
          <w:bCs/>
        </w:rPr>
        <w:t xml:space="preserve"> sexual orientation.</w:t>
      </w:r>
      <w:r w:rsidR="00B76A0A" w:rsidRPr="005825D4">
        <w:rPr>
          <w:rStyle w:val="FootnoteReference"/>
          <w:bCs/>
        </w:rPr>
        <w:footnoteReference w:id="41"/>
      </w:r>
      <w:r w:rsidR="00680DBD" w:rsidRPr="005825D4">
        <w:rPr>
          <w:bCs/>
        </w:rPr>
        <w:t xml:space="preserve"> </w:t>
      </w:r>
      <w:r w:rsidR="007F457D" w:rsidRPr="005825D4">
        <w:rPr>
          <w:bCs/>
        </w:rPr>
        <w:t>In the present case it is that category with which we are concerned</w:t>
      </w:r>
      <w:r w:rsidR="00B94296" w:rsidRPr="005825D4">
        <w:rPr>
          <w:bCs/>
        </w:rPr>
        <w:t xml:space="preserve"> and it is in relation thereto that extensive evidence was led</w:t>
      </w:r>
      <w:r w:rsidR="007F457D" w:rsidRPr="005825D4">
        <w:rPr>
          <w:bCs/>
        </w:rPr>
        <w:t xml:space="preserve">. </w:t>
      </w:r>
      <w:r w:rsidR="00AE56A7" w:rsidRPr="005825D4">
        <w:rPr>
          <w:bCs/>
        </w:rPr>
        <w:t>Moreover, t</w:t>
      </w:r>
      <w:r w:rsidR="00C71321" w:rsidRPr="005825D4">
        <w:rPr>
          <w:bCs/>
        </w:rPr>
        <w:t xml:space="preserve">he State has an obligation to promote and protect the right </w:t>
      </w:r>
      <w:r w:rsidR="00DA6521" w:rsidRPr="005825D4">
        <w:rPr>
          <w:bCs/>
        </w:rPr>
        <w:t>to human dignity of members of the LGBTI community</w:t>
      </w:r>
      <w:r w:rsidR="00967769" w:rsidRPr="005825D4">
        <w:rPr>
          <w:bCs/>
        </w:rPr>
        <w:t>,</w:t>
      </w:r>
      <w:r w:rsidR="00C71321" w:rsidRPr="005825D4">
        <w:rPr>
          <w:bCs/>
        </w:rPr>
        <w:t xml:space="preserve"> as provided</w:t>
      </w:r>
      <w:r w:rsidRPr="005825D4">
        <w:rPr>
          <w:bCs/>
        </w:rPr>
        <w:t xml:space="preserve"> for in the Constitution,</w:t>
      </w:r>
      <w:r w:rsidR="00C71321" w:rsidRPr="005825D4">
        <w:rPr>
          <w:rStyle w:val="FootnoteReference"/>
          <w:bCs/>
        </w:rPr>
        <w:footnoteReference w:id="42"/>
      </w:r>
      <w:r w:rsidR="00C71321" w:rsidRPr="005825D4">
        <w:rPr>
          <w:bCs/>
        </w:rPr>
        <w:t xml:space="preserve"> </w:t>
      </w:r>
      <w:r w:rsidRPr="005825D4">
        <w:rPr>
          <w:bCs/>
        </w:rPr>
        <w:t>which</w:t>
      </w:r>
      <w:r w:rsidR="00B978A4" w:rsidRPr="005825D4">
        <w:rPr>
          <w:bCs/>
        </w:rPr>
        <w:t xml:space="preserve"> it purported to do by way of s </w:t>
      </w:r>
      <w:r w:rsidRPr="005825D4">
        <w:rPr>
          <w:bCs/>
        </w:rPr>
        <w:t>10 of PEPUDA</w:t>
      </w:r>
      <w:r w:rsidR="00EA5372" w:rsidRPr="005825D4">
        <w:rPr>
          <w:bCs/>
        </w:rPr>
        <w:t>,</w:t>
      </w:r>
      <w:r w:rsidRPr="005825D4">
        <w:rPr>
          <w:bCs/>
        </w:rPr>
        <w:t xml:space="preserve"> read with associated provisions.</w:t>
      </w:r>
    </w:p>
    <w:p w:rsidR="00C71321" w:rsidRPr="005825D4" w:rsidRDefault="00C71321" w:rsidP="00A722C4">
      <w:pPr>
        <w:spacing w:line="360" w:lineRule="auto"/>
        <w:rPr>
          <w:bCs/>
        </w:rPr>
      </w:pPr>
    </w:p>
    <w:p w:rsidR="004C7428" w:rsidRPr="005825D4" w:rsidRDefault="006721AB" w:rsidP="00A722C4">
      <w:pPr>
        <w:spacing w:line="360" w:lineRule="auto"/>
        <w:rPr>
          <w:bCs/>
        </w:rPr>
      </w:pPr>
      <w:r w:rsidRPr="005825D4">
        <w:rPr>
          <w:bCs/>
        </w:rPr>
        <w:t>[60</w:t>
      </w:r>
      <w:r w:rsidR="00523F9A" w:rsidRPr="005825D4">
        <w:rPr>
          <w:bCs/>
        </w:rPr>
        <w:t>]</w:t>
      </w:r>
      <w:r w:rsidR="00523F9A" w:rsidRPr="005825D4">
        <w:rPr>
          <w:bCs/>
        </w:rPr>
        <w:tab/>
      </w:r>
      <w:r w:rsidR="005C6EA0" w:rsidRPr="005825D4">
        <w:rPr>
          <w:bCs/>
        </w:rPr>
        <w:t>In light of what is set out above</w:t>
      </w:r>
      <w:r w:rsidR="00EC0F1C" w:rsidRPr="005825D4">
        <w:rPr>
          <w:bCs/>
        </w:rPr>
        <w:t xml:space="preserve"> and the clear evidence of the discrimination directed at members of the LGBTI community</w:t>
      </w:r>
      <w:r w:rsidR="005C6EA0" w:rsidRPr="005825D4">
        <w:rPr>
          <w:bCs/>
        </w:rPr>
        <w:t xml:space="preserve"> there is clearly no</w:t>
      </w:r>
      <w:r w:rsidR="00B76A0A" w:rsidRPr="005825D4">
        <w:rPr>
          <w:bCs/>
        </w:rPr>
        <w:t xml:space="preserve"> merit to the contention on behalf of Mr Qwelane</w:t>
      </w:r>
      <w:r w:rsidR="00256EEF" w:rsidRPr="005825D4">
        <w:rPr>
          <w:bCs/>
        </w:rPr>
        <w:t>,</w:t>
      </w:r>
      <w:r w:rsidR="00B76A0A" w:rsidRPr="005825D4">
        <w:rPr>
          <w:bCs/>
        </w:rPr>
        <w:t xml:space="preserve"> that </w:t>
      </w:r>
      <w:r w:rsidR="00523F9A" w:rsidRPr="005825D4">
        <w:rPr>
          <w:bCs/>
        </w:rPr>
        <w:t>the</w:t>
      </w:r>
      <w:r w:rsidR="00B76A0A" w:rsidRPr="005825D4">
        <w:rPr>
          <w:bCs/>
        </w:rPr>
        <w:t xml:space="preserve"> extension</w:t>
      </w:r>
      <w:r w:rsidR="00523F9A" w:rsidRPr="005825D4">
        <w:rPr>
          <w:bCs/>
        </w:rPr>
        <w:t xml:space="preserve"> of protection to include protection against discrimination based on sexual orientation</w:t>
      </w:r>
      <w:r w:rsidR="00B76A0A" w:rsidRPr="005825D4">
        <w:rPr>
          <w:bCs/>
        </w:rPr>
        <w:t xml:space="preserve"> </w:t>
      </w:r>
      <w:r w:rsidR="00523F9A" w:rsidRPr="005825D4">
        <w:rPr>
          <w:bCs/>
        </w:rPr>
        <w:t>and against hate speech</w:t>
      </w:r>
      <w:r w:rsidR="003E1A97" w:rsidRPr="005825D4">
        <w:rPr>
          <w:bCs/>
        </w:rPr>
        <w:t xml:space="preserve"> in relation thereto</w:t>
      </w:r>
      <w:r w:rsidR="00256EEF" w:rsidRPr="005825D4">
        <w:rPr>
          <w:bCs/>
        </w:rPr>
        <w:t>,</w:t>
      </w:r>
      <w:r w:rsidR="00523F9A" w:rsidRPr="005825D4">
        <w:rPr>
          <w:bCs/>
        </w:rPr>
        <w:t xml:space="preserve"> </w:t>
      </w:r>
      <w:r w:rsidR="00B76A0A" w:rsidRPr="005825D4">
        <w:rPr>
          <w:bCs/>
        </w:rPr>
        <w:t>is constitutionally impermissible</w:t>
      </w:r>
      <w:r w:rsidR="00044E74" w:rsidRPr="005825D4">
        <w:rPr>
          <w:bCs/>
        </w:rPr>
        <w:t xml:space="preserve">. </w:t>
      </w:r>
      <w:r w:rsidR="00DA4664" w:rsidRPr="005825D4">
        <w:rPr>
          <w:bCs/>
        </w:rPr>
        <w:t xml:space="preserve">I pause to record that the other prohibited grounds provided for in s 1 of PEPUDA, beyond those set out in s 16(2) of the Constitution, were not in issue before us and no evidence was directed to them. </w:t>
      </w:r>
      <w:r w:rsidR="00680DBD" w:rsidRPr="005825D4">
        <w:rPr>
          <w:bCs/>
        </w:rPr>
        <w:t>The problem</w:t>
      </w:r>
      <w:r w:rsidR="00F437C8" w:rsidRPr="005825D4">
        <w:rPr>
          <w:bCs/>
        </w:rPr>
        <w:t>s</w:t>
      </w:r>
      <w:r w:rsidR="00B76A0A" w:rsidRPr="005825D4">
        <w:rPr>
          <w:bCs/>
        </w:rPr>
        <w:t>, however,</w:t>
      </w:r>
      <w:r w:rsidR="00680DBD" w:rsidRPr="005825D4">
        <w:rPr>
          <w:bCs/>
        </w:rPr>
        <w:t xml:space="preserve"> in </w:t>
      </w:r>
      <w:r w:rsidR="00680DBD" w:rsidRPr="005825D4">
        <w:rPr>
          <w:bCs/>
        </w:rPr>
        <w:lastRenderedPageBreak/>
        <w:t>relatio</w:t>
      </w:r>
      <w:r w:rsidR="00B978A4" w:rsidRPr="005825D4">
        <w:rPr>
          <w:bCs/>
        </w:rPr>
        <w:t>n to the constitutionality of s </w:t>
      </w:r>
      <w:r w:rsidR="00680DBD" w:rsidRPr="005825D4">
        <w:rPr>
          <w:bCs/>
        </w:rPr>
        <w:t>10(1)</w:t>
      </w:r>
      <w:r w:rsidR="0040343E" w:rsidRPr="005825D4">
        <w:rPr>
          <w:bCs/>
        </w:rPr>
        <w:t xml:space="preserve"> of PEPUDA</w:t>
      </w:r>
      <w:r w:rsidR="00680DBD" w:rsidRPr="005825D4">
        <w:rPr>
          <w:bCs/>
        </w:rPr>
        <w:t>,</w:t>
      </w:r>
      <w:r w:rsidR="0040343E" w:rsidRPr="005825D4">
        <w:rPr>
          <w:bCs/>
        </w:rPr>
        <w:t xml:space="preserve"> with regard to the regulation of hate speech,</w:t>
      </w:r>
      <w:r w:rsidR="00680DBD" w:rsidRPr="005825D4">
        <w:rPr>
          <w:bCs/>
        </w:rPr>
        <w:t xml:space="preserve"> read with</w:t>
      </w:r>
      <w:r w:rsidR="0040343E" w:rsidRPr="005825D4">
        <w:rPr>
          <w:bCs/>
        </w:rPr>
        <w:t xml:space="preserve"> the associated sections of PEPUDA</w:t>
      </w:r>
      <w:r w:rsidR="00FE3F5A" w:rsidRPr="005825D4">
        <w:rPr>
          <w:bCs/>
        </w:rPr>
        <w:t>,</w:t>
      </w:r>
      <w:r w:rsidR="00680DBD" w:rsidRPr="005825D4">
        <w:rPr>
          <w:bCs/>
        </w:rPr>
        <w:t xml:space="preserve"> </w:t>
      </w:r>
      <w:r w:rsidR="003E1A97" w:rsidRPr="005825D4">
        <w:rPr>
          <w:bCs/>
        </w:rPr>
        <w:t>go much deeper</w:t>
      </w:r>
      <w:r w:rsidR="00680DBD" w:rsidRPr="005825D4">
        <w:rPr>
          <w:bCs/>
        </w:rPr>
        <w:t>.</w:t>
      </w:r>
      <w:r w:rsidR="000D5AD0" w:rsidRPr="005825D4">
        <w:rPr>
          <w:bCs/>
        </w:rPr>
        <w:t xml:space="preserve"> </w:t>
      </w:r>
      <w:r w:rsidR="00882340" w:rsidRPr="005825D4">
        <w:rPr>
          <w:bCs/>
        </w:rPr>
        <w:t>In</w:t>
      </w:r>
      <w:r w:rsidR="000D5AD0" w:rsidRPr="005825D4">
        <w:rPr>
          <w:bCs/>
        </w:rPr>
        <w:t xml:space="preserve"> addressing those</w:t>
      </w:r>
      <w:r w:rsidR="00CB6878" w:rsidRPr="005825D4">
        <w:rPr>
          <w:bCs/>
        </w:rPr>
        <w:t xml:space="preserve">, I will continue to </w:t>
      </w:r>
      <w:r w:rsidR="00A87B64" w:rsidRPr="005825D4">
        <w:rPr>
          <w:bCs/>
        </w:rPr>
        <w:t>bear</w:t>
      </w:r>
      <w:r w:rsidR="00CB6878" w:rsidRPr="005825D4">
        <w:rPr>
          <w:bCs/>
        </w:rPr>
        <w:t xml:space="preserve"> in mind the</w:t>
      </w:r>
      <w:r w:rsidR="000D5AD0" w:rsidRPr="005825D4">
        <w:rPr>
          <w:bCs/>
        </w:rPr>
        <w:t xml:space="preserve"> duty restin</w:t>
      </w:r>
      <w:r w:rsidR="00B978A4" w:rsidRPr="005825D4">
        <w:rPr>
          <w:bCs/>
        </w:rPr>
        <w:t>g on a court, in terms of s </w:t>
      </w:r>
      <w:r w:rsidR="000D5AD0" w:rsidRPr="005825D4">
        <w:rPr>
          <w:bCs/>
        </w:rPr>
        <w:t xml:space="preserve">39 of the Constitution, when interpreting the Bill of Rights, </w:t>
      </w:r>
      <w:r w:rsidR="00A87B64" w:rsidRPr="005825D4">
        <w:rPr>
          <w:bCs/>
        </w:rPr>
        <w:t>to</w:t>
      </w:r>
      <w:r w:rsidR="000D5AD0" w:rsidRPr="005825D4">
        <w:rPr>
          <w:bCs/>
        </w:rPr>
        <w:t xml:space="preserve"> promote the values that underlie an open and democratic society based on human dignity, equality and freedom. </w:t>
      </w:r>
      <w:r w:rsidR="009D777A" w:rsidRPr="005825D4">
        <w:rPr>
          <w:bCs/>
        </w:rPr>
        <w:t>A</w:t>
      </w:r>
      <w:r w:rsidR="000D5AD0" w:rsidRPr="005825D4">
        <w:rPr>
          <w:bCs/>
        </w:rPr>
        <w:t xml:space="preserve"> court must also have regard to international law and may consider foreign law.</w:t>
      </w:r>
      <w:r w:rsidR="00554FCC" w:rsidRPr="005825D4">
        <w:rPr>
          <w:rStyle w:val="FootnoteReference"/>
          <w:bCs/>
        </w:rPr>
        <w:footnoteReference w:id="43"/>
      </w:r>
      <w:r w:rsidR="000D5AD0" w:rsidRPr="005825D4">
        <w:rPr>
          <w:bCs/>
        </w:rPr>
        <w:t xml:space="preserve"> </w:t>
      </w:r>
    </w:p>
    <w:p w:rsidR="004C7428" w:rsidRPr="005825D4" w:rsidRDefault="004C7428" w:rsidP="00A722C4">
      <w:pPr>
        <w:spacing w:line="360" w:lineRule="auto"/>
        <w:rPr>
          <w:bCs/>
        </w:rPr>
      </w:pPr>
    </w:p>
    <w:p w:rsidR="00137B23" w:rsidRPr="005825D4" w:rsidRDefault="006721AB" w:rsidP="00A722C4">
      <w:pPr>
        <w:spacing w:line="360" w:lineRule="auto"/>
        <w:rPr>
          <w:bCs/>
        </w:rPr>
      </w:pPr>
      <w:r w:rsidRPr="005825D4">
        <w:rPr>
          <w:bCs/>
        </w:rPr>
        <w:t>[61</w:t>
      </w:r>
      <w:r w:rsidR="004C7428" w:rsidRPr="005825D4">
        <w:rPr>
          <w:bCs/>
        </w:rPr>
        <w:t>]</w:t>
      </w:r>
      <w:r w:rsidR="004C7428" w:rsidRPr="005825D4">
        <w:rPr>
          <w:bCs/>
        </w:rPr>
        <w:tab/>
      </w:r>
      <w:r w:rsidR="00F437C8" w:rsidRPr="005825D4">
        <w:rPr>
          <w:bCs/>
        </w:rPr>
        <w:t xml:space="preserve">I turn to address the problems alluded to in the preceding paragraph. </w:t>
      </w:r>
      <w:r w:rsidR="000D5AD0" w:rsidRPr="005825D4">
        <w:rPr>
          <w:bCs/>
        </w:rPr>
        <w:t>F</w:t>
      </w:r>
      <w:r w:rsidR="00207831" w:rsidRPr="005825D4">
        <w:rPr>
          <w:bCs/>
        </w:rPr>
        <w:t>irst, s</w:t>
      </w:r>
      <w:r w:rsidR="00AD4C30" w:rsidRPr="005825D4">
        <w:rPr>
          <w:bCs/>
        </w:rPr>
        <w:t> </w:t>
      </w:r>
      <w:r w:rsidR="00207831" w:rsidRPr="005825D4">
        <w:rPr>
          <w:bCs/>
        </w:rPr>
        <w:t>16(2)</w:t>
      </w:r>
      <w:r w:rsidR="00207831" w:rsidRPr="005825D4">
        <w:rPr>
          <w:bCs/>
          <w:i/>
        </w:rPr>
        <w:t xml:space="preserve">(c) </w:t>
      </w:r>
      <w:r w:rsidR="00207831" w:rsidRPr="005825D4">
        <w:rPr>
          <w:bCs/>
        </w:rPr>
        <w:t xml:space="preserve">of the Constitution provides that the right to freedom of expression does not extend to </w:t>
      </w:r>
      <w:r w:rsidR="00207831" w:rsidRPr="005825D4">
        <w:rPr>
          <w:bCs/>
          <w:i/>
        </w:rPr>
        <w:t>advocacy of hatred</w:t>
      </w:r>
      <w:r w:rsidR="00207831" w:rsidRPr="005825D4">
        <w:rPr>
          <w:bCs/>
        </w:rPr>
        <w:t xml:space="preserve"> that is based on </w:t>
      </w:r>
      <w:r w:rsidR="00A03C56" w:rsidRPr="005825D4">
        <w:rPr>
          <w:bCs/>
        </w:rPr>
        <w:t>‘</w:t>
      </w:r>
      <w:r w:rsidR="00207831" w:rsidRPr="005825D4">
        <w:rPr>
          <w:bCs/>
        </w:rPr>
        <w:t xml:space="preserve">race, ethnicity, gender or religion, </w:t>
      </w:r>
      <w:r w:rsidR="00207831" w:rsidRPr="005825D4">
        <w:rPr>
          <w:bCs/>
          <w:i/>
        </w:rPr>
        <w:t>and</w:t>
      </w:r>
      <w:r w:rsidR="00207831" w:rsidRPr="005825D4">
        <w:rPr>
          <w:bCs/>
        </w:rPr>
        <w:t xml:space="preserve"> </w:t>
      </w:r>
      <w:r w:rsidR="00207831" w:rsidRPr="005825D4">
        <w:rPr>
          <w:bCs/>
          <w:i/>
        </w:rPr>
        <w:t>that constitutes incitement to cause harm</w:t>
      </w:r>
      <w:r w:rsidR="00A03C56" w:rsidRPr="005825D4">
        <w:rPr>
          <w:bCs/>
        </w:rPr>
        <w:t>’</w:t>
      </w:r>
      <w:r w:rsidR="00207831" w:rsidRPr="005825D4">
        <w:rPr>
          <w:bCs/>
        </w:rPr>
        <w:t xml:space="preserve">. Section 10(1) of PEPUDA, on the other hand, states that no person may </w:t>
      </w:r>
      <w:r w:rsidR="00207831" w:rsidRPr="005825D4">
        <w:rPr>
          <w:bCs/>
          <w:i/>
        </w:rPr>
        <w:t>publish</w:t>
      </w:r>
      <w:r w:rsidR="00207831" w:rsidRPr="005825D4">
        <w:rPr>
          <w:bCs/>
        </w:rPr>
        <w:t xml:space="preserve">, </w:t>
      </w:r>
      <w:r w:rsidR="00207831" w:rsidRPr="005825D4">
        <w:rPr>
          <w:bCs/>
          <w:i/>
        </w:rPr>
        <w:t>propagate</w:t>
      </w:r>
      <w:r w:rsidR="00207831" w:rsidRPr="005825D4">
        <w:rPr>
          <w:bCs/>
        </w:rPr>
        <w:t xml:space="preserve">, </w:t>
      </w:r>
      <w:r w:rsidR="00207831" w:rsidRPr="005825D4">
        <w:rPr>
          <w:bCs/>
          <w:i/>
        </w:rPr>
        <w:t>advocate</w:t>
      </w:r>
      <w:r w:rsidR="00207831" w:rsidRPr="005825D4">
        <w:rPr>
          <w:bCs/>
        </w:rPr>
        <w:t xml:space="preserve"> or </w:t>
      </w:r>
      <w:r w:rsidR="00207831" w:rsidRPr="005825D4">
        <w:rPr>
          <w:bCs/>
          <w:i/>
        </w:rPr>
        <w:t>communicate</w:t>
      </w:r>
      <w:r w:rsidR="00207831" w:rsidRPr="005825D4">
        <w:rPr>
          <w:bCs/>
        </w:rPr>
        <w:t xml:space="preserve"> words based on one or more of the prohibited grounds ‘against any person, that </w:t>
      </w:r>
      <w:r w:rsidR="00207831" w:rsidRPr="005825D4">
        <w:rPr>
          <w:bCs/>
          <w:i/>
        </w:rPr>
        <w:t xml:space="preserve">could reasonably be construed to demonstrate a clear intention </w:t>
      </w:r>
      <w:r w:rsidR="00207831" w:rsidRPr="005825D4">
        <w:rPr>
          <w:bCs/>
        </w:rPr>
        <w:t xml:space="preserve">to </w:t>
      </w:r>
      <w:r w:rsidR="00D612BE" w:rsidRPr="005825D4">
        <w:rPr>
          <w:bCs/>
          <w:i/>
        </w:rPr>
        <w:t>(a)</w:t>
      </w:r>
      <w:r w:rsidR="00D612BE" w:rsidRPr="005825D4">
        <w:rPr>
          <w:bCs/>
        </w:rPr>
        <w:t xml:space="preserve"> </w:t>
      </w:r>
      <w:r w:rsidR="00207831" w:rsidRPr="005825D4">
        <w:rPr>
          <w:bCs/>
        </w:rPr>
        <w:t>be hurtful,</w:t>
      </w:r>
      <w:r w:rsidR="00207831" w:rsidRPr="005825D4">
        <w:rPr>
          <w:bCs/>
          <w:i/>
        </w:rPr>
        <w:t xml:space="preserve"> </w:t>
      </w:r>
      <w:r w:rsidR="00D612BE" w:rsidRPr="005825D4">
        <w:rPr>
          <w:bCs/>
          <w:i/>
        </w:rPr>
        <w:t>(b)</w:t>
      </w:r>
      <w:r w:rsidR="00D612BE" w:rsidRPr="005825D4">
        <w:rPr>
          <w:bCs/>
        </w:rPr>
        <w:t xml:space="preserve"> </w:t>
      </w:r>
      <w:r w:rsidR="00207831" w:rsidRPr="005825D4">
        <w:rPr>
          <w:bCs/>
        </w:rPr>
        <w:t xml:space="preserve">be harmful or to incite harm, </w:t>
      </w:r>
      <w:r w:rsidR="00D612BE" w:rsidRPr="005825D4">
        <w:rPr>
          <w:bCs/>
          <w:i/>
        </w:rPr>
        <w:t>(c)</w:t>
      </w:r>
      <w:r w:rsidR="00D612BE" w:rsidRPr="005825D4">
        <w:rPr>
          <w:bCs/>
        </w:rPr>
        <w:t xml:space="preserve"> </w:t>
      </w:r>
      <w:r w:rsidR="00207831" w:rsidRPr="005825D4">
        <w:rPr>
          <w:bCs/>
        </w:rPr>
        <w:t xml:space="preserve">promote or propagate hatred’. </w:t>
      </w:r>
      <w:r w:rsidR="007F2604" w:rsidRPr="005825D4">
        <w:rPr>
          <w:bCs/>
        </w:rPr>
        <w:t xml:space="preserve">As will be shown, these are two distinct standards. </w:t>
      </w:r>
    </w:p>
    <w:p w:rsidR="003E5626" w:rsidRPr="005825D4" w:rsidRDefault="003E5626" w:rsidP="00A722C4">
      <w:pPr>
        <w:spacing w:line="360" w:lineRule="auto"/>
        <w:rPr>
          <w:bCs/>
        </w:rPr>
      </w:pPr>
    </w:p>
    <w:p w:rsidR="00E95E7C" w:rsidRPr="005825D4" w:rsidRDefault="006721AB" w:rsidP="00A722C4">
      <w:pPr>
        <w:spacing w:line="360" w:lineRule="auto"/>
        <w:rPr>
          <w:bCs/>
        </w:rPr>
      </w:pPr>
      <w:r w:rsidRPr="005825D4">
        <w:rPr>
          <w:bCs/>
        </w:rPr>
        <w:t>[62</w:t>
      </w:r>
      <w:r w:rsidR="003E5626" w:rsidRPr="005825D4">
        <w:rPr>
          <w:bCs/>
        </w:rPr>
        <w:t>]</w:t>
      </w:r>
      <w:r w:rsidR="003E5626" w:rsidRPr="005825D4">
        <w:rPr>
          <w:bCs/>
        </w:rPr>
        <w:tab/>
      </w:r>
      <w:r w:rsidR="00B83805" w:rsidRPr="005825D4">
        <w:rPr>
          <w:bCs/>
        </w:rPr>
        <w:t>T</w:t>
      </w:r>
      <w:r w:rsidR="003E5626" w:rsidRPr="005825D4">
        <w:rPr>
          <w:bCs/>
        </w:rPr>
        <w:t xml:space="preserve">he constitutional </w:t>
      </w:r>
      <w:r w:rsidR="00E13D5F" w:rsidRPr="005825D4">
        <w:rPr>
          <w:bCs/>
        </w:rPr>
        <w:t>standard</w:t>
      </w:r>
      <w:r w:rsidR="00B83805" w:rsidRPr="005825D4">
        <w:rPr>
          <w:bCs/>
        </w:rPr>
        <w:t xml:space="preserve"> involves </w:t>
      </w:r>
      <w:r w:rsidR="003E5626" w:rsidRPr="005825D4">
        <w:rPr>
          <w:bCs/>
        </w:rPr>
        <w:t>an objective test</w:t>
      </w:r>
      <w:r w:rsidR="008C55BF" w:rsidRPr="005825D4">
        <w:rPr>
          <w:bCs/>
        </w:rPr>
        <w:t xml:space="preserve"> – </w:t>
      </w:r>
      <w:r w:rsidR="00D540BA" w:rsidRPr="005825D4">
        <w:rPr>
          <w:bCs/>
        </w:rPr>
        <w:t>a primary</w:t>
      </w:r>
      <w:r w:rsidR="00E95E7C" w:rsidRPr="005825D4">
        <w:rPr>
          <w:bCs/>
        </w:rPr>
        <w:t xml:space="preserve"> assessment of </w:t>
      </w:r>
      <w:r w:rsidR="00D540BA" w:rsidRPr="005825D4">
        <w:rPr>
          <w:bCs/>
        </w:rPr>
        <w:t xml:space="preserve">whether </w:t>
      </w:r>
      <w:r w:rsidR="00E95E7C" w:rsidRPr="005825D4">
        <w:rPr>
          <w:bCs/>
        </w:rPr>
        <w:t>the expression complained of</w:t>
      </w:r>
      <w:r w:rsidR="00D540BA" w:rsidRPr="005825D4">
        <w:rPr>
          <w:bCs/>
        </w:rPr>
        <w:t xml:space="preserve"> comprises advocacy of hatred based on one of the prohibited grounds and then a further assessment of whether the advocacy of hatred constitutes incitement to cause harm. This</w:t>
      </w:r>
      <w:r w:rsidR="003E5626" w:rsidRPr="005825D4">
        <w:rPr>
          <w:bCs/>
        </w:rPr>
        <w:t xml:space="preserve"> ties in with the international jurisprudential basis for regulating freedom of expression, namely, the preservation of public order and the general welfare of society. </w:t>
      </w:r>
      <w:r w:rsidR="00B94296" w:rsidRPr="005825D4">
        <w:rPr>
          <w:bCs/>
        </w:rPr>
        <w:t xml:space="preserve">The </w:t>
      </w:r>
      <w:r w:rsidR="00633FB0" w:rsidRPr="005825D4">
        <w:rPr>
          <w:bCs/>
        </w:rPr>
        <w:t>‘</w:t>
      </w:r>
      <w:r w:rsidR="00B94296" w:rsidRPr="005825D4">
        <w:rPr>
          <w:bCs/>
        </w:rPr>
        <w:t xml:space="preserve">advocacy </w:t>
      </w:r>
      <w:r w:rsidR="000229ED" w:rsidRPr="005825D4">
        <w:rPr>
          <w:bCs/>
        </w:rPr>
        <w:t>of</w:t>
      </w:r>
      <w:r w:rsidR="00B94296" w:rsidRPr="005825D4">
        <w:rPr>
          <w:bCs/>
        </w:rPr>
        <w:t xml:space="preserve"> hatred</w:t>
      </w:r>
      <w:r w:rsidR="00633FB0" w:rsidRPr="005825D4">
        <w:rPr>
          <w:bCs/>
        </w:rPr>
        <w:t>’</w:t>
      </w:r>
      <w:r w:rsidR="00B94296" w:rsidRPr="005825D4">
        <w:rPr>
          <w:bCs/>
        </w:rPr>
        <w:t xml:space="preserve"> and </w:t>
      </w:r>
      <w:r w:rsidR="00633FB0" w:rsidRPr="005825D4">
        <w:rPr>
          <w:bCs/>
        </w:rPr>
        <w:t>‘</w:t>
      </w:r>
      <w:r w:rsidR="00B94296" w:rsidRPr="005825D4">
        <w:rPr>
          <w:bCs/>
        </w:rPr>
        <w:t>incitement to</w:t>
      </w:r>
      <w:r w:rsidR="00633FB0" w:rsidRPr="005825D4">
        <w:rPr>
          <w:bCs/>
        </w:rPr>
        <w:t xml:space="preserve"> cause</w:t>
      </w:r>
      <w:r w:rsidR="00B94296" w:rsidRPr="005825D4">
        <w:rPr>
          <w:bCs/>
        </w:rPr>
        <w:t xml:space="preserve"> harm</w:t>
      </w:r>
      <w:r w:rsidR="00633FB0" w:rsidRPr="005825D4">
        <w:rPr>
          <w:bCs/>
        </w:rPr>
        <w:t>’</w:t>
      </w:r>
      <w:r w:rsidR="00B94296" w:rsidRPr="005825D4">
        <w:rPr>
          <w:bCs/>
        </w:rPr>
        <w:t xml:space="preserve"> are inextricably linked.</w:t>
      </w:r>
    </w:p>
    <w:p w:rsidR="00E95E7C" w:rsidRPr="005825D4" w:rsidRDefault="00E95E7C" w:rsidP="00A722C4">
      <w:pPr>
        <w:spacing w:line="360" w:lineRule="auto"/>
        <w:rPr>
          <w:bCs/>
        </w:rPr>
      </w:pPr>
    </w:p>
    <w:p w:rsidR="00EB128E" w:rsidRPr="005825D4" w:rsidRDefault="006721AB" w:rsidP="00A722C4">
      <w:pPr>
        <w:spacing w:line="360" w:lineRule="auto"/>
        <w:rPr>
          <w:bCs/>
        </w:rPr>
      </w:pPr>
      <w:r w:rsidRPr="005825D4">
        <w:rPr>
          <w:bCs/>
        </w:rPr>
        <w:t>[63</w:t>
      </w:r>
      <w:r w:rsidR="00E95E7C" w:rsidRPr="005825D4">
        <w:rPr>
          <w:bCs/>
        </w:rPr>
        <w:t>]</w:t>
      </w:r>
      <w:r w:rsidR="00E95E7C" w:rsidRPr="005825D4">
        <w:rPr>
          <w:bCs/>
        </w:rPr>
        <w:tab/>
      </w:r>
      <w:r w:rsidR="00763010" w:rsidRPr="005825D4">
        <w:rPr>
          <w:bCs/>
        </w:rPr>
        <w:t>In relation to the exercise envisaged by s 10(1) of PEPUDA,</w:t>
      </w:r>
      <w:r w:rsidR="00106A85" w:rsidRPr="005825D4">
        <w:rPr>
          <w:bCs/>
        </w:rPr>
        <w:t xml:space="preserve"> </w:t>
      </w:r>
      <w:r w:rsidR="004E4021" w:rsidRPr="005825D4">
        <w:rPr>
          <w:bCs/>
        </w:rPr>
        <w:t xml:space="preserve">one commences </w:t>
      </w:r>
      <w:r w:rsidR="00FC5545" w:rsidRPr="005825D4">
        <w:rPr>
          <w:bCs/>
        </w:rPr>
        <w:t xml:space="preserve">by considering whether a person </w:t>
      </w:r>
      <w:r w:rsidR="00794654" w:rsidRPr="005825D4">
        <w:rPr>
          <w:bCs/>
          <w:i/>
        </w:rPr>
        <w:t>published</w:t>
      </w:r>
      <w:r w:rsidR="00794654" w:rsidRPr="005825D4">
        <w:rPr>
          <w:bCs/>
        </w:rPr>
        <w:t>,</w:t>
      </w:r>
      <w:r w:rsidR="004E4021" w:rsidRPr="005825D4">
        <w:rPr>
          <w:bCs/>
        </w:rPr>
        <w:t xml:space="preserve"> </w:t>
      </w:r>
      <w:r w:rsidR="00633FB0" w:rsidRPr="005825D4">
        <w:rPr>
          <w:bCs/>
          <w:i/>
        </w:rPr>
        <w:t>propagated</w:t>
      </w:r>
      <w:r w:rsidR="004E4021" w:rsidRPr="005825D4">
        <w:rPr>
          <w:bCs/>
        </w:rPr>
        <w:t xml:space="preserve">, </w:t>
      </w:r>
      <w:r w:rsidR="004E4021" w:rsidRPr="005825D4">
        <w:rPr>
          <w:bCs/>
          <w:i/>
        </w:rPr>
        <w:t>advo</w:t>
      </w:r>
      <w:r w:rsidR="00633FB0" w:rsidRPr="005825D4">
        <w:rPr>
          <w:bCs/>
          <w:i/>
        </w:rPr>
        <w:t>cated</w:t>
      </w:r>
      <w:r w:rsidR="004E4021" w:rsidRPr="005825D4">
        <w:rPr>
          <w:bCs/>
        </w:rPr>
        <w:t xml:space="preserve"> or </w:t>
      </w:r>
      <w:r w:rsidR="00633FB0" w:rsidRPr="005825D4">
        <w:rPr>
          <w:bCs/>
          <w:i/>
        </w:rPr>
        <w:t>communicated</w:t>
      </w:r>
      <w:r w:rsidR="004E4021" w:rsidRPr="005825D4">
        <w:rPr>
          <w:bCs/>
        </w:rPr>
        <w:t xml:space="preserve"> </w:t>
      </w:r>
      <w:r w:rsidR="004E4021" w:rsidRPr="005825D4">
        <w:rPr>
          <w:bCs/>
          <w:i/>
        </w:rPr>
        <w:t>words</w:t>
      </w:r>
      <w:r w:rsidR="004E4021" w:rsidRPr="005825D4">
        <w:rPr>
          <w:bCs/>
        </w:rPr>
        <w:t xml:space="preserve"> based on one or more of the prohibited grounds against any person</w:t>
      </w:r>
      <w:r w:rsidR="00335EB4" w:rsidRPr="005825D4">
        <w:rPr>
          <w:bCs/>
        </w:rPr>
        <w:t xml:space="preserve"> and</w:t>
      </w:r>
      <w:r w:rsidR="00EE0D86" w:rsidRPr="005825D4">
        <w:rPr>
          <w:bCs/>
        </w:rPr>
        <w:t xml:space="preserve"> then looks</w:t>
      </w:r>
      <w:r w:rsidR="00335EB4" w:rsidRPr="005825D4">
        <w:rPr>
          <w:bCs/>
        </w:rPr>
        <w:t xml:space="preserve"> to see</w:t>
      </w:r>
      <w:r w:rsidR="004E4021" w:rsidRPr="005825D4">
        <w:rPr>
          <w:bCs/>
        </w:rPr>
        <w:t xml:space="preserve"> </w:t>
      </w:r>
      <w:r w:rsidR="004E4021" w:rsidRPr="005825D4">
        <w:rPr>
          <w:bCs/>
        </w:rPr>
        <w:lastRenderedPageBreak/>
        <w:t xml:space="preserve">whether the </w:t>
      </w:r>
      <w:r w:rsidR="00CC59E8" w:rsidRPr="005825D4">
        <w:rPr>
          <w:bCs/>
        </w:rPr>
        <w:t>words</w:t>
      </w:r>
      <w:r w:rsidR="004E4021" w:rsidRPr="005825D4">
        <w:rPr>
          <w:bCs/>
        </w:rPr>
        <w:t xml:space="preserve"> complained of could ‘</w:t>
      </w:r>
      <w:r w:rsidR="004E4021" w:rsidRPr="005825D4">
        <w:rPr>
          <w:bCs/>
          <w:i/>
        </w:rPr>
        <w:t>reasonably be construed</w:t>
      </w:r>
      <w:r w:rsidR="004E4021" w:rsidRPr="005825D4">
        <w:rPr>
          <w:bCs/>
        </w:rPr>
        <w:t xml:space="preserve"> to demonstrate </w:t>
      </w:r>
      <w:r w:rsidR="004E4021" w:rsidRPr="005825D4">
        <w:rPr>
          <w:bCs/>
          <w:i/>
        </w:rPr>
        <w:t>a clear intention to be</w:t>
      </w:r>
      <w:r w:rsidR="004E4021" w:rsidRPr="005825D4">
        <w:rPr>
          <w:bCs/>
        </w:rPr>
        <w:t xml:space="preserve"> </w:t>
      </w:r>
      <w:r w:rsidR="004E4021" w:rsidRPr="005825D4">
        <w:rPr>
          <w:bCs/>
          <w:i/>
        </w:rPr>
        <w:t>hurtful</w:t>
      </w:r>
      <w:r w:rsidR="004E4021" w:rsidRPr="005825D4">
        <w:rPr>
          <w:bCs/>
        </w:rPr>
        <w:t xml:space="preserve">, </w:t>
      </w:r>
      <w:r w:rsidR="004E4021" w:rsidRPr="005825D4">
        <w:rPr>
          <w:bCs/>
          <w:i/>
        </w:rPr>
        <w:t>harmful</w:t>
      </w:r>
      <w:r w:rsidR="004E4021" w:rsidRPr="005825D4">
        <w:rPr>
          <w:bCs/>
        </w:rPr>
        <w:t xml:space="preserve"> </w:t>
      </w:r>
      <w:r w:rsidR="004E4021" w:rsidRPr="005825D4">
        <w:rPr>
          <w:bCs/>
          <w:i/>
        </w:rPr>
        <w:t>or to</w:t>
      </w:r>
      <w:r w:rsidR="004E4021" w:rsidRPr="005825D4">
        <w:rPr>
          <w:bCs/>
        </w:rPr>
        <w:t xml:space="preserve"> </w:t>
      </w:r>
      <w:r w:rsidR="004E4021" w:rsidRPr="005825D4">
        <w:rPr>
          <w:bCs/>
          <w:i/>
        </w:rPr>
        <w:t>incite harm</w:t>
      </w:r>
      <w:r w:rsidR="004E4021" w:rsidRPr="005825D4">
        <w:rPr>
          <w:bCs/>
        </w:rPr>
        <w:t xml:space="preserve">, </w:t>
      </w:r>
      <w:r w:rsidR="004E4021" w:rsidRPr="005825D4">
        <w:rPr>
          <w:bCs/>
          <w:i/>
        </w:rPr>
        <w:t>promote or propagate hatred</w:t>
      </w:r>
      <w:r w:rsidR="00882340" w:rsidRPr="005825D4">
        <w:rPr>
          <w:bCs/>
        </w:rPr>
        <w:t xml:space="preserve">’ – as provided for in subsections </w:t>
      </w:r>
      <w:r w:rsidR="00882340" w:rsidRPr="005825D4">
        <w:rPr>
          <w:bCs/>
          <w:i/>
        </w:rPr>
        <w:t>(a)</w:t>
      </w:r>
      <w:r w:rsidR="00882340" w:rsidRPr="005825D4">
        <w:rPr>
          <w:bCs/>
        </w:rPr>
        <w:t xml:space="preserve">, </w:t>
      </w:r>
      <w:r w:rsidR="00882340" w:rsidRPr="005825D4">
        <w:rPr>
          <w:bCs/>
          <w:i/>
        </w:rPr>
        <w:t>(b)</w:t>
      </w:r>
      <w:r w:rsidR="00882340" w:rsidRPr="005825D4">
        <w:rPr>
          <w:bCs/>
        </w:rPr>
        <w:t xml:space="preserve"> and </w:t>
      </w:r>
      <w:r w:rsidR="00882340" w:rsidRPr="005825D4">
        <w:rPr>
          <w:bCs/>
          <w:i/>
        </w:rPr>
        <w:t>(c)</w:t>
      </w:r>
      <w:r w:rsidR="00882340" w:rsidRPr="005825D4">
        <w:rPr>
          <w:bCs/>
        </w:rPr>
        <w:t xml:space="preserve"> of </w:t>
      </w:r>
      <w:r w:rsidR="00225766" w:rsidRPr="005825D4">
        <w:rPr>
          <w:bCs/>
        </w:rPr>
        <w:t xml:space="preserve">s 10(1) of </w:t>
      </w:r>
      <w:r w:rsidR="00882340" w:rsidRPr="005825D4">
        <w:rPr>
          <w:bCs/>
        </w:rPr>
        <w:t>PEPUDA.</w:t>
      </w:r>
      <w:r w:rsidR="004E4021" w:rsidRPr="005825D4">
        <w:rPr>
          <w:bCs/>
        </w:rPr>
        <w:t xml:space="preserve"> </w:t>
      </w:r>
    </w:p>
    <w:p w:rsidR="003149CD" w:rsidRPr="005825D4" w:rsidRDefault="003149CD" w:rsidP="00A722C4">
      <w:pPr>
        <w:spacing w:line="360" w:lineRule="auto"/>
        <w:rPr>
          <w:bCs/>
        </w:rPr>
      </w:pPr>
    </w:p>
    <w:p w:rsidR="00FC241C" w:rsidRPr="005825D4" w:rsidRDefault="000F2278" w:rsidP="00A722C4">
      <w:pPr>
        <w:spacing w:line="360" w:lineRule="auto"/>
        <w:rPr>
          <w:bCs/>
        </w:rPr>
      </w:pPr>
      <w:r w:rsidRPr="005825D4">
        <w:rPr>
          <w:bCs/>
        </w:rPr>
        <w:t>[6</w:t>
      </w:r>
      <w:r w:rsidR="006721AB" w:rsidRPr="005825D4">
        <w:rPr>
          <w:bCs/>
        </w:rPr>
        <w:t>4</w:t>
      </w:r>
      <w:r w:rsidR="00EB128E" w:rsidRPr="005825D4">
        <w:rPr>
          <w:bCs/>
        </w:rPr>
        <w:t>]</w:t>
      </w:r>
      <w:r w:rsidR="00EB128E" w:rsidRPr="005825D4">
        <w:rPr>
          <w:bCs/>
        </w:rPr>
        <w:tab/>
      </w:r>
      <w:r w:rsidR="00E25CB8" w:rsidRPr="005825D4">
        <w:rPr>
          <w:bCs/>
        </w:rPr>
        <w:t xml:space="preserve">It is necessary to record that, in oral argument before us, the </w:t>
      </w:r>
      <w:r w:rsidR="00CC59E8" w:rsidRPr="005825D4">
        <w:rPr>
          <w:bCs/>
        </w:rPr>
        <w:t>HRC, the Minister and the Society</w:t>
      </w:r>
      <w:r w:rsidR="00E25CB8" w:rsidRPr="005825D4">
        <w:rPr>
          <w:bCs/>
          <w:i/>
        </w:rPr>
        <w:t xml:space="preserve"> </w:t>
      </w:r>
      <w:r w:rsidR="00E25CB8" w:rsidRPr="005825D4">
        <w:rPr>
          <w:bCs/>
        </w:rPr>
        <w:t xml:space="preserve">all </w:t>
      </w:r>
      <w:r w:rsidR="00CC59E8" w:rsidRPr="005825D4">
        <w:rPr>
          <w:bCs/>
        </w:rPr>
        <w:t>conceded</w:t>
      </w:r>
      <w:r w:rsidR="00B978A4" w:rsidRPr="005825D4">
        <w:rPr>
          <w:bCs/>
        </w:rPr>
        <w:t xml:space="preserve"> that ss </w:t>
      </w:r>
      <w:r w:rsidR="00E25CB8" w:rsidRPr="005825D4">
        <w:rPr>
          <w:bCs/>
        </w:rPr>
        <w:t>10(1)</w:t>
      </w:r>
      <w:r w:rsidR="00E25CB8" w:rsidRPr="005825D4">
        <w:rPr>
          <w:bCs/>
          <w:i/>
        </w:rPr>
        <w:t>(a)</w:t>
      </w:r>
      <w:r w:rsidR="00E25CB8" w:rsidRPr="005825D4">
        <w:rPr>
          <w:bCs/>
        </w:rPr>
        <w:t xml:space="preserve">, </w:t>
      </w:r>
      <w:r w:rsidR="00E25CB8" w:rsidRPr="005825D4">
        <w:rPr>
          <w:bCs/>
          <w:i/>
        </w:rPr>
        <w:t>(b)</w:t>
      </w:r>
      <w:r w:rsidR="00E25CB8" w:rsidRPr="005825D4">
        <w:rPr>
          <w:bCs/>
        </w:rPr>
        <w:t xml:space="preserve"> and </w:t>
      </w:r>
      <w:r w:rsidR="00E25CB8" w:rsidRPr="005825D4">
        <w:rPr>
          <w:bCs/>
          <w:i/>
        </w:rPr>
        <w:t xml:space="preserve">(c) </w:t>
      </w:r>
      <w:r w:rsidR="00E25CB8" w:rsidRPr="005825D4">
        <w:rPr>
          <w:bCs/>
        </w:rPr>
        <w:t xml:space="preserve">of PEPUDA must be read disjunctively. </w:t>
      </w:r>
      <w:r w:rsidR="004347BE" w:rsidRPr="005825D4">
        <w:rPr>
          <w:bCs/>
        </w:rPr>
        <w:t>Commentators have</w:t>
      </w:r>
      <w:r w:rsidR="003149CD" w:rsidRPr="005825D4">
        <w:rPr>
          <w:bCs/>
        </w:rPr>
        <w:t xml:space="preserve"> interpreted the provisions in that manner.</w:t>
      </w:r>
      <w:r w:rsidR="004347BE" w:rsidRPr="005825D4">
        <w:rPr>
          <w:rStyle w:val="FootnoteReference"/>
          <w:bCs/>
        </w:rPr>
        <w:footnoteReference w:id="44"/>
      </w:r>
      <w:r w:rsidR="004347BE" w:rsidRPr="005825D4">
        <w:rPr>
          <w:bCs/>
        </w:rPr>
        <w:t xml:space="preserve"> </w:t>
      </w:r>
      <w:r w:rsidR="00C816ED" w:rsidRPr="005825D4">
        <w:rPr>
          <w:bCs/>
        </w:rPr>
        <w:t>The concessions and the commentary are warranted. Section</w:t>
      </w:r>
      <w:r w:rsidR="00E25CB8" w:rsidRPr="005825D4">
        <w:rPr>
          <w:bCs/>
        </w:rPr>
        <w:t xml:space="preserve"> 10(1) is structured</w:t>
      </w:r>
      <w:r w:rsidR="00C816ED" w:rsidRPr="005825D4">
        <w:rPr>
          <w:bCs/>
        </w:rPr>
        <w:t xml:space="preserve"> in that way</w:t>
      </w:r>
      <w:r w:rsidR="00E25CB8" w:rsidRPr="005825D4">
        <w:rPr>
          <w:bCs/>
        </w:rPr>
        <w:t>. Each of the three subsections appear after the long dash</w:t>
      </w:r>
      <w:r w:rsidR="009B146A" w:rsidRPr="005825D4">
        <w:rPr>
          <w:bCs/>
        </w:rPr>
        <w:t>,</w:t>
      </w:r>
      <w:r w:rsidR="00E25CB8" w:rsidRPr="005825D4">
        <w:rPr>
          <w:bCs/>
        </w:rPr>
        <w:t xml:space="preserve"> following on the introductory words and each of the first two subsections end</w:t>
      </w:r>
      <w:r w:rsidR="00A1284C" w:rsidRPr="005825D4">
        <w:rPr>
          <w:bCs/>
        </w:rPr>
        <w:t>s</w:t>
      </w:r>
      <w:r w:rsidR="00E25CB8" w:rsidRPr="005825D4">
        <w:rPr>
          <w:bCs/>
        </w:rPr>
        <w:t xml:space="preserve"> with a semicolon. The subsections</w:t>
      </w:r>
      <w:r w:rsidR="00132AB1" w:rsidRPr="005825D4">
        <w:rPr>
          <w:bCs/>
        </w:rPr>
        <w:t xml:space="preserve"> are not connected with the word ‘and’</w:t>
      </w:r>
      <w:r w:rsidR="00E25CB8" w:rsidRPr="005825D4">
        <w:rPr>
          <w:bCs/>
        </w:rPr>
        <w:t xml:space="preserve">, which one would have expected, if it was intended for the sections to be construed conjunctively. The reason for providing </w:t>
      </w:r>
      <w:r w:rsidR="003F44B6" w:rsidRPr="005825D4">
        <w:rPr>
          <w:bCs/>
        </w:rPr>
        <w:t>alternatives</w:t>
      </w:r>
      <w:r w:rsidR="00E25CB8" w:rsidRPr="005825D4">
        <w:rPr>
          <w:bCs/>
        </w:rPr>
        <w:t xml:space="preserve"> within subsections </w:t>
      </w:r>
      <w:r w:rsidR="00E25CB8" w:rsidRPr="005825D4">
        <w:rPr>
          <w:bCs/>
          <w:i/>
        </w:rPr>
        <w:t>(b)</w:t>
      </w:r>
      <w:r w:rsidR="00E25CB8" w:rsidRPr="005825D4">
        <w:rPr>
          <w:bCs/>
        </w:rPr>
        <w:t xml:space="preserve"> and </w:t>
      </w:r>
      <w:r w:rsidR="00E25CB8" w:rsidRPr="005825D4">
        <w:rPr>
          <w:bCs/>
          <w:i/>
        </w:rPr>
        <w:t>(c)</w:t>
      </w:r>
      <w:r w:rsidR="00E25CB8" w:rsidRPr="005825D4">
        <w:rPr>
          <w:bCs/>
        </w:rPr>
        <w:t xml:space="preserve"> by use of the word ‘or’ is not readily apparent. </w:t>
      </w:r>
      <w:r w:rsidR="0087085F" w:rsidRPr="005825D4">
        <w:rPr>
          <w:bCs/>
        </w:rPr>
        <w:t xml:space="preserve">The </w:t>
      </w:r>
      <w:r w:rsidR="003F44B6" w:rsidRPr="005825D4">
        <w:rPr>
          <w:bCs/>
        </w:rPr>
        <w:t>alternative</w:t>
      </w:r>
      <w:r w:rsidR="00B21722" w:rsidRPr="005825D4">
        <w:rPr>
          <w:bCs/>
        </w:rPr>
        <w:t>s</w:t>
      </w:r>
      <w:r w:rsidR="0087085F" w:rsidRPr="005825D4">
        <w:rPr>
          <w:bCs/>
        </w:rPr>
        <w:t xml:space="preserve"> could </w:t>
      </w:r>
      <w:r w:rsidR="003F44B6" w:rsidRPr="005825D4">
        <w:rPr>
          <w:bCs/>
        </w:rPr>
        <w:t xml:space="preserve">just as easily </w:t>
      </w:r>
      <w:r w:rsidR="0087085F" w:rsidRPr="005825D4">
        <w:rPr>
          <w:bCs/>
        </w:rPr>
        <w:t xml:space="preserve">have been added as further subsections </w:t>
      </w:r>
      <w:r w:rsidR="0087085F" w:rsidRPr="005825D4">
        <w:rPr>
          <w:bCs/>
          <w:i/>
        </w:rPr>
        <w:t>(d)</w:t>
      </w:r>
      <w:r w:rsidR="0087085F" w:rsidRPr="005825D4">
        <w:rPr>
          <w:bCs/>
        </w:rPr>
        <w:t xml:space="preserve"> and </w:t>
      </w:r>
      <w:r w:rsidR="0087085F" w:rsidRPr="005825D4">
        <w:rPr>
          <w:bCs/>
          <w:i/>
        </w:rPr>
        <w:t>(e)</w:t>
      </w:r>
      <w:r w:rsidR="0087085F" w:rsidRPr="005825D4">
        <w:rPr>
          <w:bCs/>
        </w:rPr>
        <w:t xml:space="preserve">. </w:t>
      </w:r>
      <w:r w:rsidR="00132AB1" w:rsidRPr="005825D4">
        <w:rPr>
          <w:bCs/>
        </w:rPr>
        <w:t>This is another factor that supports the disjunctive reading of the subsections.</w:t>
      </w:r>
      <w:r w:rsidR="00816B00" w:rsidRPr="005825D4">
        <w:rPr>
          <w:bCs/>
        </w:rPr>
        <w:t xml:space="preserve"> The formulation of the subsections as alternative</w:t>
      </w:r>
      <w:r w:rsidR="00F62381" w:rsidRPr="005825D4">
        <w:rPr>
          <w:bCs/>
        </w:rPr>
        <w:t>s</w:t>
      </w:r>
      <w:r w:rsidR="00816B00" w:rsidRPr="005825D4">
        <w:rPr>
          <w:bCs/>
        </w:rPr>
        <w:t xml:space="preserve"> decouples the constitutional requirements of advocating hatred and incitement </w:t>
      </w:r>
      <w:r w:rsidR="00F62381" w:rsidRPr="005825D4">
        <w:rPr>
          <w:bCs/>
        </w:rPr>
        <w:t>to cause</w:t>
      </w:r>
      <w:r w:rsidR="00816B00" w:rsidRPr="005825D4">
        <w:rPr>
          <w:bCs/>
        </w:rPr>
        <w:t xml:space="preserve"> harm, so that one or neither of these may lead to a finding of hate speech. That is a</w:t>
      </w:r>
      <w:r w:rsidR="0031205C" w:rsidRPr="005825D4">
        <w:rPr>
          <w:bCs/>
        </w:rPr>
        <w:t>lso an extensive infringement of</w:t>
      </w:r>
      <w:r w:rsidR="00816B00" w:rsidRPr="005825D4">
        <w:rPr>
          <w:bCs/>
        </w:rPr>
        <w:t xml:space="preserve"> the</w:t>
      </w:r>
      <w:r w:rsidR="001B4D82" w:rsidRPr="005825D4">
        <w:rPr>
          <w:bCs/>
        </w:rPr>
        <w:t xml:space="preserve"> right</w:t>
      </w:r>
      <w:r w:rsidR="00816B00" w:rsidRPr="005825D4">
        <w:rPr>
          <w:bCs/>
        </w:rPr>
        <w:t>.</w:t>
      </w:r>
      <w:r w:rsidR="001B4D82" w:rsidRPr="005825D4">
        <w:rPr>
          <w:rStyle w:val="FootnoteReference"/>
          <w:bCs/>
        </w:rPr>
        <w:footnoteReference w:id="45"/>
      </w:r>
      <w:r w:rsidR="00816B00" w:rsidRPr="005825D4">
        <w:rPr>
          <w:bCs/>
        </w:rPr>
        <w:t xml:space="preserve"> </w:t>
      </w:r>
    </w:p>
    <w:p w:rsidR="00861858" w:rsidRPr="005825D4" w:rsidRDefault="006721AB" w:rsidP="00A722C4">
      <w:pPr>
        <w:spacing w:line="360" w:lineRule="auto"/>
        <w:rPr>
          <w:bCs/>
        </w:rPr>
      </w:pPr>
      <w:r w:rsidRPr="005825D4">
        <w:rPr>
          <w:bCs/>
        </w:rPr>
        <w:t>[65</w:t>
      </w:r>
      <w:r w:rsidR="00FC241C" w:rsidRPr="005825D4">
        <w:rPr>
          <w:bCs/>
        </w:rPr>
        <w:t>]</w:t>
      </w:r>
      <w:r w:rsidR="00FC241C" w:rsidRPr="005825D4">
        <w:rPr>
          <w:bCs/>
        </w:rPr>
        <w:tab/>
      </w:r>
      <w:r w:rsidR="00EC0F1C" w:rsidRPr="005825D4">
        <w:rPr>
          <w:bCs/>
        </w:rPr>
        <w:t>T</w:t>
      </w:r>
      <w:r w:rsidR="00FC241C" w:rsidRPr="005825D4">
        <w:rPr>
          <w:bCs/>
        </w:rPr>
        <w:t>he words ‘publish, propagate, advocate or communi</w:t>
      </w:r>
      <w:r w:rsidR="00AD4C30" w:rsidRPr="005825D4">
        <w:rPr>
          <w:bCs/>
        </w:rPr>
        <w:t>cate’, in the lead-in part of s </w:t>
      </w:r>
      <w:r w:rsidR="00FC241C" w:rsidRPr="005825D4">
        <w:rPr>
          <w:bCs/>
        </w:rPr>
        <w:t xml:space="preserve">10 of PEPUDA, are all also disjunctively placed. </w:t>
      </w:r>
      <w:r w:rsidR="00B83805" w:rsidRPr="005825D4">
        <w:rPr>
          <w:bCs/>
        </w:rPr>
        <w:t>Any one of those forms</w:t>
      </w:r>
      <w:r w:rsidR="00861858" w:rsidRPr="005825D4">
        <w:rPr>
          <w:bCs/>
        </w:rPr>
        <w:t xml:space="preserve"> of expression</w:t>
      </w:r>
      <w:r w:rsidR="00BD7F48" w:rsidRPr="005825D4">
        <w:rPr>
          <w:bCs/>
        </w:rPr>
        <w:t xml:space="preserve"> that can reasonably </w:t>
      </w:r>
      <w:r w:rsidR="005941E9" w:rsidRPr="005825D4">
        <w:rPr>
          <w:bCs/>
        </w:rPr>
        <w:t xml:space="preserve">be </w:t>
      </w:r>
      <w:r w:rsidR="00BD7F48" w:rsidRPr="005825D4">
        <w:rPr>
          <w:bCs/>
        </w:rPr>
        <w:t xml:space="preserve">construed to demonstrate a clear intention, </w:t>
      </w:r>
      <w:r w:rsidR="005941E9" w:rsidRPr="005825D4">
        <w:rPr>
          <w:bCs/>
        </w:rPr>
        <w:t>to</w:t>
      </w:r>
      <w:r w:rsidR="00BD7F48" w:rsidRPr="005825D4">
        <w:rPr>
          <w:bCs/>
        </w:rPr>
        <w:t xml:space="preserve"> have</w:t>
      </w:r>
      <w:r w:rsidR="00B83805" w:rsidRPr="005825D4">
        <w:rPr>
          <w:bCs/>
        </w:rPr>
        <w:t xml:space="preserve"> any of the results in subsections </w:t>
      </w:r>
      <w:r w:rsidR="00B83805" w:rsidRPr="005825D4">
        <w:rPr>
          <w:bCs/>
          <w:i/>
        </w:rPr>
        <w:t>(a)</w:t>
      </w:r>
      <w:r w:rsidR="00B83805" w:rsidRPr="005825D4">
        <w:rPr>
          <w:bCs/>
        </w:rPr>
        <w:t xml:space="preserve">, </w:t>
      </w:r>
      <w:r w:rsidR="00B83805" w:rsidRPr="005825D4">
        <w:rPr>
          <w:bCs/>
          <w:i/>
        </w:rPr>
        <w:t>(b)</w:t>
      </w:r>
      <w:r w:rsidR="00B83805" w:rsidRPr="005825D4">
        <w:rPr>
          <w:bCs/>
        </w:rPr>
        <w:t xml:space="preserve"> and </w:t>
      </w:r>
      <w:r w:rsidR="00B83805" w:rsidRPr="005825D4">
        <w:rPr>
          <w:bCs/>
          <w:i/>
        </w:rPr>
        <w:t>(c)</w:t>
      </w:r>
      <w:r w:rsidR="00B83805" w:rsidRPr="005825D4">
        <w:rPr>
          <w:bCs/>
        </w:rPr>
        <w:t xml:space="preserve">, can lead to liability. </w:t>
      </w:r>
      <w:r w:rsidR="00B978A4" w:rsidRPr="005825D4">
        <w:rPr>
          <w:bCs/>
        </w:rPr>
        <w:t>In terms of s </w:t>
      </w:r>
      <w:r w:rsidR="00861858" w:rsidRPr="005825D4">
        <w:rPr>
          <w:bCs/>
        </w:rPr>
        <w:t>10(1)</w:t>
      </w:r>
      <w:r w:rsidR="00861858" w:rsidRPr="005825D4">
        <w:rPr>
          <w:bCs/>
          <w:i/>
        </w:rPr>
        <w:t>(a)</w:t>
      </w:r>
      <w:r w:rsidR="00861858" w:rsidRPr="005825D4">
        <w:rPr>
          <w:bCs/>
        </w:rPr>
        <w:t>, m</w:t>
      </w:r>
      <w:r w:rsidR="00DC612F" w:rsidRPr="005825D4">
        <w:rPr>
          <w:bCs/>
        </w:rPr>
        <w:t xml:space="preserve">ere ‘communication’ </w:t>
      </w:r>
      <w:r w:rsidR="009E4FE9" w:rsidRPr="005825D4">
        <w:rPr>
          <w:bCs/>
        </w:rPr>
        <w:t xml:space="preserve">of words </w:t>
      </w:r>
      <w:r w:rsidR="00DC612F" w:rsidRPr="005825D4">
        <w:rPr>
          <w:bCs/>
        </w:rPr>
        <w:t xml:space="preserve">based on prohibited grounds, which could reasonably be construed to demonstrate a clear intention to be </w:t>
      </w:r>
      <w:r w:rsidR="00BD7F48" w:rsidRPr="005825D4">
        <w:rPr>
          <w:bCs/>
        </w:rPr>
        <w:t>‘</w:t>
      </w:r>
      <w:r w:rsidR="00DC612F" w:rsidRPr="005825D4">
        <w:rPr>
          <w:bCs/>
        </w:rPr>
        <w:t>hurtful</w:t>
      </w:r>
      <w:r w:rsidR="00BD7F48" w:rsidRPr="005825D4">
        <w:rPr>
          <w:bCs/>
        </w:rPr>
        <w:t>’</w:t>
      </w:r>
      <w:r w:rsidR="00DC612F" w:rsidRPr="005825D4">
        <w:rPr>
          <w:bCs/>
        </w:rPr>
        <w:t xml:space="preserve"> is sufficient</w:t>
      </w:r>
      <w:r w:rsidR="009B146A" w:rsidRPr="005825D4">
        <w:rPr>
          <w:bCs/>
        </w:rPr>
        <w:t xml:space="preserve"> for liability</w:t>
      </w:r>
      <w:r w:rsidR="00805BDA" w:rsidRPr="005825D4">
        <w:rPr>
          <w:bCs/>
        </w:rPr>
        <w:t xml:space="preserve"> to attach</w:t>
      </w:r>
      <w:r w:rsidR="009B146A" w:rsidRPr="005825D4">
        <w:rPr>
          <w:bCs/>
        </w:rPr>
        <w:t xml:space="preserve"> and</w:t>
      </w:r>
      <w:r w:rsidR="00805BDA" w:rsidRPr="005825D4">
        <w:rPr>
          <w:bCs/>
        </w:rPr>
        <w:t xml:space="preserve"> for</w:t>
      </w:r>
      <w:r w:rsidR="009B146A" w:rsidRPr="005825D4">
        <w:rPr>
          <w:bCs/>
        </w:rPr>
        <w:t xml:space="preserve"> sanction to follow</w:t>
      </w:r>
      <w:r w:rsidR="00DC612F" w:rsidRPr="005825D4">
        <w:rPr>
          <w:bCs/>
        </w:rPr>
        <w:t xml:space="preserve">. </w:t>
      </w:r>
      <w:r w:rsidR="00805BDA" w:rsidRPr="005825D4">
        <w:rPr>
          <w:bCs/>
        </w:rPr>
        <w:t>It is not necessary for the potential of harm or actual harm to be shown</w:t>
      </w:r>
      <w:r w:rsidR="00AF79B7" w:rsidRPr="005825D4">
        <w:rPr>
          <w:bCs/>
        </w:rPr>
        <w:t>.</w:t>
      </w:r>
      <w:r w:rsidR="00805BDA" w:rsidRPr="005825D4">
        <w:rPr>
          <w:bCs/>
        </w:rPr>
        <w:t xml:space="preserve"> Moreover</w:t>
      </w:r>
      <w:r w:rsidR="00DC612F" w:rsidRPr="005825D4">
        <w:rPr>
          <w:bCs/>
        </w:rPr>
        <w:t>,</w:t>
      </w:r>
      <w:r w:rsidR="00ED3386" w:rsidRPr="005825D4">
        <w:rPr>
          <w:bCs/>
        </w:rPr>
        <w:t xml:space="preserve"> a</w:t>
      </w:r>
      <w:r w:rsidR="00590875" w:rsidRPr="005825D4">
        <w:rPr>
          <w:bCs/>
        </w:rPr>
        <w:t xml:space="preserve">dvocacy of hatred is not a necessary requirement for </w:t>
      </w:r>
      <w:r w:rsidR="00335EB4" w:rsidRPr="005825D4">
        <w:rPr>
          <w:bCs/>
        </w:rPr>
        <w:t xml:space="preserve">liability to </w:t>
      </w:r>
      <w:r w:rsidR="00335EB4" w:rsidRPr="005825D4">
        <w:rPr>
          <w:bCs/>
        </w:rPr>
        <w:lastRenderedPageBreak/>
        <w:t>attach</w:t>
      </w:r>
      <w:r w:rsidR="00805BDA" w:rsidRPr="005825D4">
        <w:rPr>
          <w:bCs/>
        </w:rPr>
        <w:t>.</w:t>
      </w:r>
      <w:r w:rsidR="003F44B6" w:rsidRPr="005825D4">
        <w:rPr>
          <w:rStyle w:val="FootnoteReference"/>
          <w:bCs/>
        </w:rPr>
        <w:footnoteReference w:id="46"/>
      </w:r>
      <w:r w:rsidR="00590875" w:rsidRPr="005825D4">
        <w:rPr>
          <w:bCs/>
        </w:rPr>
        <w:t xml:space="preserve"> </w:t>
      </w:r>
      <w:r w:rsidR="001A7CF6" w:rsidRPr="005825D4">
        <w:rPr>
          <w:bCs/>
        </w:rPr>
        <w:t>Counsel on behalf of the Minister concede</w:t>
      </w:r>
      <w:r w:rsidR="00AF79B7" w:rsidRPr="005825D4">
        <w:rPr>
          <w:bCs/>
        </w:rPr>
        <w:t>d</w:t>
      </w:r>
      <w:r w:rsidR="001A7CF6" w:rsidRPr="005825D4">
        <w:rPr>
          <w:bCs/>
        </w:rPr>
        <w:t xml:space="preserve"> that</w:t>
      </w:r>
      <w:r w:rsidR="00AF79B7" w:rsidRPr="005825D4">
        <w:rPr>
          <w:bCs/>
        </w:rPr>
        <w:t xml:space="preserve"> in terms of</w:t>
      </w:r>
      <w:r w:rsidR="00B978A4" w:rsidRPr="005825D4">
        <w:rPr>
          <w:bCs/>
        </w:rPr>
        <w:t xml:space="preserve"> s </w:t>
      </w:r>
      <w:r w:rsidR="001A7CF6" w:rsidRPr="005825D4">
        <w:rPr>
          <w:bCs/>
        </w:rPr>
        <w:t xml:space="preserve">10 of PEPUDA </w:t>
      </w:r>
      <w:r w:rsidR="00EC0F1C" w:rsidRPr="005825D4">
        <w:rPr>
          <w:bCs/>
        </w:rPr>
        <w:t>any one of the forms of expression</w:t>
      </w:r>
      <w:r w:rsidR="001A7CF6" w:rsidRPr="005825D4">
        <w:rPr>
          <w:bCs/>
        </w:rPr>
        <w:t xml:space="preserve"> that might not necessarily constitute advocacy of hatred</w:t>
      </w:r>
      <w:r w:rsidR="00AF79B7" w:rsidRPr="005825D4">
        <w:rPr>
          <w:bCs/>
        </w:rPr>
        <w:t xml:space="preserve"> </w:t>
      </w:r>
      <w:r w:rsidR="005941E9" w:rsidRPr="005825D4">
        <w:rPr>
          <w:bCs/>
        </w:rPr>
        <w:t xml:space="preserve">nor incitement to harm </w:t>
      </w:r>
      <w:r w:rsidR="00B21722" w:rsidRPr="005825D4">
        <w:rPr>
          <w:bCs/>
        </w:rPr>
        <w:t>are prohibited</w:t>
      </w:r>
      <w:r w:rsidR="001A7CF6" w:rsidRPr="005825D4">
        <w:rPr>
          <w:bCs/>
        </w:rPr>
        <w:t xml:space="preserve">. </w:t>
      </w:r>
      <w:r w:rsidR="00EC0F1C" w:rsidRPr="005825D4">
        <w:rPr>
          <w:bCs/>
        </w:rPr>
        <w:t>This is another respect in which th</w:t>
      </w:r>
      <w:r w:rsidR="00B978A4" w:rsidRPr="005825D4">
        <w:rPr>
          <w:bCs/>
        </w:rPr>
        <w:t>e section limits the right in s </w:t>
      </w:r>
      <w:r w:rsidR="00EC0F1C" w:rsidRPr="005825D4">
        <w:rPr>
          <w:bCs/>
        </w:rPr>
        <w:t>16(1).</w:t>
      </w:r>
      <w:r w:rsidR="00F62381" w:rsidRPr="005825D4">
        <w:rPr>
          <w:bCs/>
        </w:rPr>
        <w:t xml:space="preserve"> </w:t>
      </w:r>
    </w:p>
    <w:p w:rsidR="00861858" w:rsidRPr="005825D4" w:rsidRDefault="00861858" w:rsidP="00A722C4">
      <w:pPr>
        <w:spacing w:line="360" w:lineRule="auto"/>
        <w:rPr>
          <w:bCs/>
        </w:rPr>
      </w:pPr>
    </w:p>
    <w:p w:rsidR="009E4FE9" w:rsidRPr="005825D4" w:rsidRDefault="006721AB" w:rsidP="00A722C4">
      <w:pPr>
        <w:spacing w:line="360" w:lineRule="auto"/>
        <w:rPr>
          <w:bCs/>
        </w:rPr>
      </w:pPr>
      <w:r w:rsidRPr="005825D4">
        <w:rPr>
          <w:bCs/>
        </w:rPr>
        <w:t>[66</w:t>
      </w:r>
      <w:r w:rsidR="00861858" w:rsidRPr="005825D4">
        <w:rPr>
          <w:bCs/>
        </w:rPr>
        <w:t>]</w:t>
      </w:r>
      <w:r w:rsidR="00861858" w:rsidRPr="005825D4">
        <w:rPr>
          <w:bCs/>
        </w:rPr>
        <w:tab/>
      </w:r>
      <w:r w:rsidR="009E4FE9" w:rsidRPr="005825D4">
        <w:rPr>
          <w:bCs/>
        </w:rPr>
        <w:t xml:space="preserve">In relation to the words being ‘reasonably construed’ to demonstrate a clear intention to </w:t>
      </w:r>
      <w:r w:rsidR="00861858" w:rsidRPr="005825D4">
        <w:rPr>
          <w:bCs/>
        </w:rPr>
        <w:t>have any of the results</w:t>
      </w:r>
      <w:r w:rsidR="00B978A4" w:rsidRPr="005825D4">
        <w:rPr>
          <w:bCs/>
        </w:rPr>
        <w:t xml:space="preserve"> set out in ss</w:t>
      </w:r>
      <w:r w:rsidR="00B978A4" w:rsidRPr="005825D4">
        <w:rPr>
          <w:bCs/>
          <w:lang w:val="en-ZA"/>
        </w:rPr>
        <w:t> </w:t>
      </w:r>
      <w:r w:rsidR="00861858" w:rsidRPr="005825D4">
        <w:rPr>
          <w:bCs/>
        </w:rPr>
        <w:t>10(1)</w:t>
      </w:r>
      <w:r w:rsidR="00861858" w:rsidRPr="005825D4">
        <w:rPr>
          <w:bCs/>
          <w:i/>
        </w:rPr>
        <w:t>(a)</w:t>
      </w:r>
      <w:r w:rsidR="00861858" w:rsidRPr="005825D4">
        <w:rPr>
          <w:bCs/>
        </w:rPr>
        <w:t>-</w:t>
      </w:r>
      <w:r w:rsidR="00861858" w:rsidRPr="005825D4">
        <w:rPr>
          <w:bCs/>
          <w:i/>
        </w:rPr>
        <w:t>(c)</w:t>
      </w:r>
      <w:r w:rsidR="00861858" w:rsidRPr="005825D4">
        <w:rPr>
          <w:bCs/>
        </w:rPr>
        <w:t>,</w:t>
      </w:r>
      <w:r w:rsidR="009E4FE9" w:rsidRPr="005825D4">
        <w:rPr>
          <w:bCs/>
        </w:rPr>
        <w:t xml:space="preserve"> Albertyn </w:t>
      </w:r>
      <w:r w:rsidR="009E4FE9" w:rsidRPr="005825D4">
        <w:rPr>
          <w:bCs/>
          <w:i/>
        </w:rPr>
        <w:t>et al</w:t>
      </w:r>
      <w:r w:rsidR="009E4FE9" w:rsidRPr="005825D4">
        <w:rPr>
          <w:bCs/>
        </w:rPr>
        <w:t xml:space="preserve"> postulate that the test is not strictly one of actual intention. They say the following at 93:</w:t>
      </w:r>
    </w:p>
    <w:p w:rsidR="009E4FE9" w:rsidRPr="005825D4" w:rsidRDefault="009E4FE9" w:rsidP="00A722C4">
      <w:pPr>
        <w:spacing w:line="360" w:lineRule="auto"/>
        <w:rPr>
          <w:bCs/>
          <w:sz w:val="22"/>
        </w:rPr>
      </w:pPr>
      <w:r w:rsidRPr="005825D4">
        <w:rPr>
          <w:bCs/>
          <w:sz w:val="22"/>
        </w:rPr>
        <w:t xml:space="preserve">‘It does not require that a reasonable person </w:t>
      </w:r>
      <w:r w:rsidRPr="005825D4">
        <w:rPr>
          <w:bCs/>
          <w:i/>
          <w:sz w:val="22"/>
        </w:rPr>
        <w:t>would</w:t>
      </w:r>
      <w:r w:rsidRPr="005825D4">
        <w:rPr>
          <w:bCs/>
          <w:sz w:val="22"/>
        </w:rPr>
        <w:t xml:space="preserve"> interpret the conduct in such a way, only that it is possible that he might construe it in this w</w:t>
      </w:r>
      <w:r w:rsidR="00B849EE" w:rsidRPr="005825D4">
        <w:rPr>
          <w:bCs/>
          <w:sz w:val="22"/>
        </w:rPr>
        <w:t>ay.’</w:t>
      </w:r>
      <w:r w:rsidR="00B849EE" w:rsidRPr="005825D4">
        <w:rPr>
          <w:rStyle w:val="FootnoteReference"/>
          <w:bCs/>
          <w:sz w:val="22"/>
        </w:rPr>
        <w:footnoteReference w:id="47"/>
      </w:r>
    </w:p>
    <w:p w:rsidR="00861858" w:rsidRPr="005825D4" w:rsidRDefault="005941E9" w:rsidP="00A722C4">
      <w:pPr>
        <w:spacing w:line="360" w:lineRule="auto"/>
        <w:rPr>
          <w:bCs/>
        </w:rPr>
      </w:pPr>
      <w:r w:rsidRPr="005825D4">
        <w:rPr>
          <w:bCs/>
        </w:rPr>
        <w:t>I agree with that view.</w:t>
      </w:r>
      <w:r w:rsidR="00F62381" w:rsidRPr="005825D4">
        <w:rPr>
          <w:bCs/>
        </w:rPr>
        <w:t xml:space="preserve"> The result is to depart significantly from the objective constitutional test and replace it with the subjective opinion of a reasonable person hearing the words. This is an extensive infringement on the right of freedom of expression.</w:t>
      </w:r>
    </w:p>
    <w:p w:rsidR="005941E9" w:rsidRPr="005825D4" w:rsidRDefault="005941E9" w:rsidP="00A722C4">
      <w:pPr>
        <w:spacing w:line="360" w:lineRule="auto"/>
        <w:rPr>
          <w:bCs/>
        </w:rPr>
      </w:pPr>
    </w:p>
    <w:p w:rsidR="00E13D5F" w:rsidRPr="005825D4" w:rsidRDefault="006721AB" w:rsidP="00A722C4">
      <w:pPr>
        <w:spacing w:line="360" w:lineRule="auto"/>
        <w:rPr>
          <w:bCs/>
          <w:sz w:val="22"/>
        </w:rPr>
      </w:pPr>
      <w:r w:rsidRPr="005825D4">
        <w:rPr>
          <w:bCs/>
        </w:rPr>
        <w:t>[67</w:t>
      </w:r>
      <w:r w:rsidR="00974E14" w:rsidRPr="005825D4">
        <w:rPr>
          <w:bCs/>
        </w:rPr>
        <w:t>]</w:t>
      </w:r>
      <w:r w:rsidR="00974E14" w:rsidRPr="005825D4">
        <w:rPr>
          <w:bCs/>
        </w:rPr>
        <w:tab/>
        <w:t>A purposive</w:t>
      </w:r>
      <w:r w:rsidR="001260BF" w:rsidRPr="005825D4">
        <w:rPr>
          <w:bCs/>
        </w:rPr>
        <w:t xml:space="preserve"> and contextual</w:t>
      </w:r>
      <w:r w:rsidR="00974E14" w:rsidRPr="005825D4">
        <w:rPr>
          <w:bCs/>
        </w:rPr>
        <w:t xml:space="preserve"> appr</w:t>
      </w:r>
      <w:r w:rsidR="00B978A4" w:rsidRPr="005825D4">
        <w:rPr>
          <w:bCs/>
        </w:rPr>
        <w:t>oach to the interpretation of s </w:t>
      </w:r>
      <w:r w:rsidR="00974E14" w:rsidRPr="005825D4">
        <w:rPr>
          <w:bCs/>
        </w:rPr>
        <w:t xml:space="preserve">10 of PEPUDA leads to the </w:t>
      </w:r>
      <w:r w:rsidR="003F44B6" w:rsidRPr="005825D4">
        <w:rPr>
          <w:bCs/>
        </w:rPr>
        <w:t xml:space="preserve">compelling </w:t>
      </w:r>
      <w:r w:rsidR="00974E14" w:rsidRPr="005825D4">
        <w:rPr>
          <w:bCs/>
        </w:rPr>
        <w:t>conclusi</w:t>
      </w:r>
      <w:r w:rsidR="00EC4741" w:rsidRPr="005825D4">
        <w:rPr>
          <w:bCs/>
        </w:rPr>
        <w:t>on</w:t>
      </w:r>
      <w:r w:rsidR="00974E14" w:rsidRPr="005825D4">
        <w:rPr>
          <w:bCs/>
        </w:rPr>
        <w:t xml:space="preserve"> that</w:t>
      </w:r>
      <w:r w:rsidR="003F44B6" w:rsidRPr="005825D4">
        <w:rPr>
          <w:bCs/>
        </w:rPr>
        <w:t xml:space="preserve"> the</w:t>
      </w:r>
      <w:r w:rsidR="00974E14" w:rsidRPr="005825D4">
        <w:rPr>
          <w:bCs/>
        </w:rPr>
        <w:t xml:space="preserve"> legislature sought to provide protection as broadly as possible</w:t>
      </w:r>
      <w:r w:rsidR="003F44B6" w:rsidRPr="005825D4">
        <w:rPr>
          <w:bCs/>
        </w:rPr>
        <w:t>,</w:t>
      </w:r>
      <w:r w:rsidR="00974E14" w:rsidRPr="005825D4">
        <w:rPr>
          <w:bCs/>
        </w:rPr>
        <w:t xml:space="preserve"> by imposing liability for </w:t>
      </w:r>
      <w:r w:rsidR="00454056" w:rsidRPr="005825D4">
        <w:rPr>
          <w:bCs/>
        </w:rPr>
        <w:t>expressions in any of the forms s</w:t>
      </w:r>
      <w:r w:rsidR="00B978A4" w:rsidRPr="005825D4">
        <w:rPr>
          <w:bCs/>
        </w:rPr>
        <w:t>et out in the lead-in part of s</w:t>
      </w:r>
      <w:r w:rsidR="00B978A4" w:rsidRPr="005825D4">
        <w:rPr>
          <w:bCs/>
          <w:lang w:val="en-ZA"/>
        </w:rPr>
        <w:t> </w:t>
      </w:r>
      <w:r w:rsidR="00454056" w:rsidRPr="005825D4">
        <w:rPr>
          <w:bCs/>
        </w:rPr>
        <w:t xml:space="preserve">10(1) </w:t>
      </w:r>
      <w:r w:rsidR="00974E14" w:rsidRPr="005825D4">
        <w:rPr>
          <w:bCs/>
        </w:rPr>
        <w:t>that</w:t>
      </w:r>
      <w:r w:rsidR="00757EAA" w:rsidRPr="005825D4">
        <w:rPr>
          <w:bCs/>
        </w:rPr>
        <w:t xml:space="preserve"> can reasonably be construed to</w:t>
      </w:r>
      <w:r w:rsidR="00974E14" w:rsidRPr="005825D4">
        <w:rPr>
          <w:bCs/>
        </w:rPr>
        <w:t xml:space="preserve"> have </w:t>
      </w:r>
      <w:r w:rsidR="00974E14" w:rsidRPr="005825D4">
        <w:rPr>
          <w:bCs/>
          <w:i/>
        </w:rPr>
        <w:t>any one</w:t>
      </w:r>
      <w:r w:rsidR="00974E14" w:rsidRPr="005825D4">
        <w:rPr>
          <w:bCs/>
        </w:rPr>
        <w:t xml:space="preserve"> of the results set out in subsections </w:t>
      </w:r>
      <w:r w:rsidR="00974E14" w:rsidRPr="005825D4">
        <w:rPr>
          <w:bCs/>
          <w:i/>
        </w:rPr>
        <w:t>(a)</w:t>
      </w:r>
      <w:r w:rsidR="00974E14" w:rsidRPr="005825D4">
        <w:rPr>
          <w:bCs/>
        </w:rPr>
        <w:t xml:space="preserve">, </w:t>
      </w:r>
      <w:r w:rsidR="00974E14" w:rsidRPr="005825D4">
        <w:rPr>
          <w:bCs/>
          <w:i/>
        </w:rPr>
        <w:t>(b)</w:t>
      </w:r>
      <w:r w:rsidR="00974E14" w:rsidRPr="005825D4">
        <w:rPr>
          <w:bCs/>
        </w:rPr>
        <w:t xml:space="preserve"> and </w:t>
      </w:r>
      <w:r w:rsidR="00974E14" w:rsidRPr="005825D4">
        <w:rPr>
          <w:bCs/>
          <w:i/>
        </w:rPr>
        <w:t>(c)</w:t>
      </w:r>
      <w:r w:rsidR="00974E14" w:rsidRPr="005825D4">
        <w:rPr>
          <w:bCs/>
        </w:rPr>
        <w:t xml:space="preserve">. </w:t>
      </w:r>
      <w:r w:rsidR="00974E14" w:rsidRPr="005825D4">
        <w:rPr>
          <w:bCs/>
          <w:lang w:val="en-ZA"/>
        </w:rPr>
        <w:t xml:space="preserve">C Albertyn, B Goldblat and C Roedere </w:t>
      </w:r>
      <w:r w:rsidR="00974E14" w:rsidRPr="005825D4">
        <w:rPr>
          <w:bCs/>
          <w:i/>
          <w:lang w:val="en-ZA"/>
        </w:rPr>
        <w:t xml:space="preserve">Introduction to the Promotion of Equality and Prevention of Unfair Discrimination Act 4 of 2000 </w:t>
      </w:r>
      <w:r w:rsidR="00974E14" w:rsidRPr="005825D4">
        <w:rPr>
          <w:bCs/>
        </w:rPr>
        <w:t>ed</w:t>
      </w:r>
      <w:r w:rsidR="00974E14" w:rsidRPr="005825D4">
        <w:rPr>
          <w:bCs/>
          <w:lang w:val="en-ZA"/>
        </w:rPr>
        <w:t xml:space="preserve"> (2001</w:t>
      </w:r>
      <w:r w:rsidR="00974E14" w:rsidRPr="005825D4">
        <w:rPr>
          <w:bCs/>
        </w:rPr>
        <w:t>), describe PEPUDA as an ‘obvious attempt by the legislature to widen the cover of hate speech’.</w:t>
      </w:r>
      <w:r w:rsidR="001A7CF6" w:rsidRPr="005825D4">
        <w:rPr>
          <w:bCs/>
        </w:rPr>
        <w:t xml:space="preserve"> I pause to o</w:t>
      </w:r>
      <w:r w:rsidR="00B978A4" w:rsidRPr="005825D4">
        <w:rPr>
          <w:bCs/>
        </w:rPr>
        <w:t>bserve that the provisions of s </w:t>
      </w:r>
      <w:r w:rsidR="001A7CF6" w:rsidRPr="005825D4">
        <w:rPr>
          <w:bCs/>
        </w:rPr>
        <w:t>10(1) are more restricted in one limited sense, namely, that it prohibits the publishing, propagation, advocacy or communication of ‘words’, which is a narrower limitation tha</w:t>
      </w:r>
      <w:r w:rsidR="00471618" w:rsidRPr="005825D4">
        <w:rPr>
          <w:bCs/>
        </w:rPr>
        <w:t>n</w:t>
      </w:r>
      <w:r w:rsidR="001A7CF6" w:rsidRPr="005825D4">
        <w:rPr>
          <w:bCs/>
        </w:rPr>
        <w:t xml:space="preserve"> the constitutional limitation on ‘expression’ which extends beyond words. One might rightly ask why that distinction is drawn. </w:t>
      </w:r>
    </w:p>
    <w:p w:rsidR="00882340" w:rsidRPr="005825D4" w:rsidRDefault="00882340" w:rsidP="00A722C4">
      <w:pPr>
        <w:spacing w:line="360" w:lineRule="auto"/>
        <w:rPr>
          <w:bCs/>
        </w:rPr>
      </w:pPr>
    </w:p>
    <w:p w:rsidR="00BD7F48" w:rsidRPr="005825D4" w:rsidRDefault="006721AB" w:rsidP="00A722C4">
      <w:pPr>
        <w:spacing w:line="360" w:lineRule="auto"/>
        <w:rPr>
          <w:bCs/>
        </w:rPr>
      </w:pPr>
      <w:r w:rsidRPr="005825D4">
        <w:rPr>
          <w:bCs/>
        </w:rPr>
        <w:t>[68</w:t>
      </w:r>
      <w:r w:rsidR="00EF4E5D" w:rsidRPr="005825D4">
        <w:rPr>
          <w:bCs/>
        </w:rPr>
        <w:t>]</w:t>
      </w:r>
      <w:r w:rsidR="00EF4E5D" w:rsidRPr="005825D4">
        <w:rPr>
          <w:bCs/>
        </w:rPr>
        <w:tab/>
      </w:r>
      <w:r w:rsidR="00861858" w:rsidRPr="005825D4">
        <w:rPr>
          <w:bCs/>
        </w:rPr>
        <w:t>The difficulty in dea</w:t>
      </w:r>
      <w:r w:rsidR="00B978A4" w:rsidRPr="005825D4">
        <w:rPr>
          <w:bCs/>
        </w:rPr>
        <w:t>ling with the standard set in s </w:t>
      </w:r>
      <w:r w:rsidR="00861858" w:rsidRPr="005825D4">
        <w:rPr>
          <w:bCs/>
        </w:rPr>
        <w:t>10(1) of PEPUDA</w:t>
      </w:r>
      <w:r w:rsidR="00DB7A7D" w:rsidRPr="005825D4">
        <w:rPr>
          <w:bCs/>
        </w:rPr>
        <w:t xml:space="preserve"> in relation to the consti</w:t>
      </w:r>
      <w:r w:rsidR="00B978A4" w:rsidRPr="005825D4">
        <w:rPr>
          <w:bCs/>
        </w:rPr>
        <w:t>tutional standard provided by s </w:t>
      </w:r>
      <w:r w:rsidR="00DB7A7D" w:rsidRPr="005825D4">
        <w:rPr>
          <w:bCs/>
        </w:rPr>
        <w:t>16(2)</w:t>
      </w:r>
      <w:r w:rsidR="00DB7A7D" w:rsidRPr="005825D4">
        <w:rPr>
          <w:bCs/>
          <w:i/>
        </w:rPr>
        <w:t>(c)</w:t>
      </w:r>
      <w:r w:rsidR="00861858" w:rsidRPr="005825D4">
        <w:rPr>
          <w:bCs/>
        </w:rPr>
        <w:t xml:space="preserve"> </w:t>
      </w:r>
      <w:r w:rsidR="00DB7A7D" w:rsidRPr="005825D4">
        <w:rPr>
          <w:bCs/>
        </w:rPr>
        <w:t>is that the former</w:t>
      </w:r>
      <w:r w:rsidR="00861858" w:rsidRPr="005825D4">
        <w:rPr>
          <w:bCs/>
        </w:rPr>
        <w:t xml:space="preserve"> is barely intelligible.</w:t>
      </w:r>
      <w:r w:rsidR="002259C6" w:rsidRPr="005825D4">
        <w:rPr>
          <w:bCs/>
        </w:rPr>
        <w:t xml:space="preserve"> </w:t>
      </w:r>
      <w:r w:rsidR="00861858" w:rsidRPr="005825D4">
        <w:rPr>
          <w:bCs/>
        </w:rPr>
        <w:t xml:space="preserve">Albertyn </w:t>
      </w:r>
      <w:r w:rsidR="00861858" w:rsidRPr="005825D4">
        <w:rPr>
          <w:bCs/>
          <w:i/>
        </w:rPr>
        <w:t>et al</w:t>
      </w:r>
      <w:r w:rsidR="00861858" w:rsidRPr="005825D4">
        <w:rPr>
          <w:bCs/>
        </w:rPr>
        <w:t xml:space="preserve"> canno</w:t>
      </w:r>
      <w:r w:rsidR="00B978A4" w:rsidRPr="005825D4">
        <w:rPr>
          <w:bCs/>
        </w:rPr>
        <w:t>t be faulted for stating that s </w:t>
      </w:r>
      <w:r w:rsidR="00861858" w:rsidRPr="005825D4">
        <w:rPr>
          <w:bCs/>
        </w:rPr>
        <w:t xml:space="preserve">10 of PEPUDA as well as other sections </w:t>
      </w:r>
      <w:r w:rsidR="00861858" w:rsidRPr="005825D4">
        <w:rPr>
          <w:bCs/>
        </w:rPr>
        <w:lastRenderedPageBreak/>
        <w:t>of that legislation, ‘are exceptionally difficult to understand’.</w:t>
      </w:r>
      <w:r w:rsidR="00C26D0F" w:rsidRPr="005825D4">
        <w:rPr>
          <w:rStyle w:val="FootnoteReference"/>
          <w:bCs/>
        </w:rPr>
        <w:footnoteReference w:id="48"/>
      </w:r>
      <w:r w:rsidR="00861858" w:rsidRPr="005825D4">
        <w:rPr>
          <w:bCs/>
        </w:rPr>
        <w:t xml:space="preserve"> The authors go on to state that it is doubtful that the average person ‘will be able to use the Act to guide his or her conduct clearly’. They contend, in my view correctly, that in addition to the vagueness that attends the sections generally, there are certain provisions that are particularly vague. In this regard, the authors point to the difficulty of determining what ‘hurtful’ in</w:t>
      </w:r>
      <w:r w:rsidR="00AD4C30" w:rsidRPr="005825D4">
        <w:rPr>
          <w:bCs/>
        </w:rPr>
        <w:t xml:space="preserve"> </w:t>
      </w:r>
      <w:r w:rsidR="00861858" w:rsidRPr="005825D4">
        <w:rPr>
          <w:bCs/>
        </w:rPr>
        <w:t>s</w:t>
      </w:r>
      <w:r w:rsidR="00AD4C30" w:rsidRPr="005825D4">
        <w:rPr>
          <w:bCs/>
        </w:rPr>
        <w:t> </w:t>
      </w:r>
      <w:r w:rsidR="00861858" w:rsidRPr="005825D4">
        <w:rPr>
          <w:bCs/>
        </w:rPr>
        <w:t>10(1)</w:t>
      </w:r>
      <w:r w:rsidR="00861858" w:rsidRPr="005825D4">
        <w:rPr>
          <w:bCs/>
          <w:i/>
        </w:rPr>
        <w:t xml:space="preserve">(a) </w:t>
      </w:r>
      <w:r w:rsidR="00861858" w:rsidRPr="005825D4">
        <w:rPr>
          <w:bCs/>
        </w:rPr>
        <w:t xml:space="preserve">of PEPUDA was meant to capture. I cannot agree more. ‘Hurtful’ is defined in </w:t>
      </w:r>
      <w:r w:rsidR="00F60109" w:rsidRPr="005825D4">
        <w:rPr>
          <w:bCs/>
        </w:rPr>
        <w:t>the</w:t>
      </w:r>
      <w:r w:rsidR="00861858" w:rsidRPr="005825D4">
        <w:rPr>
          <w:bCs/>
        </w:rPr>
        <w:t xml:space="preserve"> </w:t>
      </w:r>
      <w:r w:rsidR="00861858" w:rsidRPr="005825D4">
        <w:rPr>
          <w:bCs/>
          <w:i/>
        </w:rPr>
        <w:t>Concise Oxford English Dictionary</w:t>
      </w:r>
      <w:r w:rsidR="00F60109" w:rsidRPr="005825D4">
        <w:rPr>
          <w:rStyle w:val="FootnoteReference"/>
          <w:bCs/>
          <w:i/>
        </w:rPr>
        <w:footnoteReference w:id="49"/>
      </w:r>
      <w:r w:rsidR="00861858" w:rsidRPr="005825D4">
        <w:rPr>
          <w:bCs/>
        </w:rPr>
        <w:t xml:space="preserve"> as ‘causing distress; upsetting’. </w:t>
      </w:r>
      <w:r w:rsidR="00EC0F1C" w:rsidRPr="005825D4">
        <w:rPr>
          <w:bCs/>
        </w:rPr>
        <w:t xml:space="preserve">It involves and attack on a person’s feelings or emotions as in ‘that was a very hurtful remark’. The </w:t>
      </w:r>
      <w:r w:rsidR="00EC0F1C" w:rsidRPr="005825D4">
        <w:rPr>
          <w:bCs/>
          <w:i/>
        </w:rPr>
        <w:t>Shorter Oxford English Dictionary</w:t>
      </w:r>
      <w:r w:rsidR="001F4CF6" w:rsidRPr="005825D4">
        <w:rPr>
          <w:rStyle w:val="FootnoteReference"/>
          <w:bCs/>
          <w:i/>
        </w:rPr>
        <w:footnoteReference w:id="50"/>
      </w:r>
      <w:r w:rsidR="00EC0F1C" w:rsidRPr="005825D4">
        <w:rPr>
          <w:bCs/>
        </w:rPr>
        <w:t xml:space="preserve"> makes it clear that injury to feelings is the primary consequence of words that are hurtful. It give ‘causing hurt; harmful; detrimental; wounding to feelings’ as its definition. The </w:t>
      </w:r>
      <w:r w:rsidR="00EC0F1C" w:rsidRPr="005825D4">
        <w:rPr>
          <w:bCs/>
          <w:i/>
        </w:rPr>
        <w:t>Cambridge Dictionary</w:t>
      </w:r>
      <w:r w:rsidR="00EC0F1C" w:rsidRPr="005825D4">
        <w:rPr>
          <w:bCs/>
        </w:rPr>
        <w:t xml:space="preserve"> defines it as ‘causing emotional pain. The </w:t>
      </w:r>
      <w:r w:rsidR="00EC0F1C" w:rsidRPr="005825D4">
        <w:rPr>
          <w:bCs/>
          <w:i/>
        </w:rPr>
        <w:t>Merriam-Webster Dictionary</w:t>
      </w:r>
      <w:r w:rsidR="00EC0F1C" w:rsidRPr="005825D4">
        <w:rPr>
          <w:bCs/>
        </w:rPr>
        <w:t xml:space="preserve"> gives the definition as ‘causing injury, detriment or suffering</w:t>
      </w:r>
      <w:r w:rsidR="00F3018A" w:rsidRPr="005825D4">
        <w:rPr>
          <w:bCs/>
        </w:rPr>
        <w:t>’</w:t>
      </w:r>
      <w:r w:rsidR="00EC0F1C" w:rsidRPr="005825D4">
        <w:rPr>
          <w:bCs/>
        </w:rPr>
        <w:t xml:space="preserve">. The </w:t>
      </w:r>
      <w:r w:rsidR="00EC0F1C" w:rsidRPr="005825D4">
        <w:rPr>
          <w:bCs/>
          <w:i/>
        </w:rPr>
        <w:t xml:space="preserve">Collins </w:t>
      </w:r>
      <w:r w:rsidR="00E51FD5" w:rsidRPr="005825D4">
        <w:rPr>
          <w:bCs/>
          <w:i/>
        </w:rPr>
        <w:t xml:space="preserve">English Dictionary </w:t>
      </w:r>
      <w:r w:rsidR="00E51FD5" w:rsidRPr="005825D4">
        <w:rPr>
          <w:bCs/>
        </w:rPr>
        <w:t>explains that ‘if someone’s comments or actions are hurtful, you mean that they are unkind or upsetting</w:t>
      </w:r>
      <w:r w:rsidR="00F3018A" w:rsidRPr="005825D4">
        <w:rPr>
          <w:bCs/>
        </w:rPr>
        <w:t>’</w:t>
      </w:r>
      <w:r w:rsidR="00E51FD5" w:rsidRPr="005825D4">
        <w:rPr>
          <w:bCs/>
        </w:rPr>
        <w:t xml:space="preserve">. The common feature of all these definitions is that they are concerned with a person’s subjective emotions and feelings in response to the actions of a third party. </w:t>
      </w:r>
      <w:r w:rsidR="00861858" w:rsidRPr="005825D4">
        <w:rPr>
          <w:bCs/>
        </w:rPr>
        <w:t xml:space="preserve">This does not equate with causing harm or incitement to harm. </w:t>
      </w:r>
    </w:p>
    <w:p w:rsidR="00BD7F48" w:rsidRPr="005825D4" w:rsidRDefault="00BD7F48" w:rsidP="00A722C4">
      <w:pPr>
        <w:spacing w:line="360" w:lineRule="auto"/>
        <w:rPr>
          <w:bCs/>
        </w:rPr>
      </w:pPr>
    </w:p>
    <w:p w:rsidR="00861858" w:rsidRPr="005825D4" w:rsidRDefault="00BD7F48" w:rsidP="00A722C4">
      <w:pPr>
        <w:spacing w:line="360" w:lineRule="auto"/>
        <w:rPr>
          <w:bCs/>
        </w:rPr>
      </w:pPr>
      <w:r w:rsidRPr="005825D4">
        <w:rPr>
          <w:bCs/>
        </w:rPr>
        <w:t>[</w:t>
      </w:r>
      <w:r w:rsidR="006721AB" w:rsidRPr="005825D4">
        <w:rPr>
          <w:bCs/>
        </w:rPr>
        <w:t>69</w:t>
      </w:r>
      <w:r w:rsidRPr="005825D4">
        <w:rPr>
          <w:bCs/>
        </w:rPr>
        <w:t>]</w:t>
      </w:r>
      <w:r w:rsidRPr="005825D4">
        <w:rPr>
          <w:bCs/>
        </w:rPr>
        <w:tab/>
      </w:r>
      <w:r w:rsidR="00861858" w:rsidRPr="005825D4">
        <w:rPr>
          <w:bCs/>
        </w:rPr>
        <w:t>The reader will recall that Professor Nel considered repeated pronouncements by churches, that homosexuality is a sin, as hurtful. One could say that pronouncements by agnostics and atheists, that the clergy and people of faith believe in fairy tales and could rightly be condemned for being irrational and that they have no place in an evolved society, would be equally hurtful to those targeted. Of course, it does not mean that pronouncements by any of the constituencies referred to above, might not, depending on their nature and what is being advocated, in addition to statements of belief or conviction, enter upon territory that might bring them within the limitation contemplated by s 16</w:t>
      </w:r>
      <w:r w:rsidR="00F62381" w:rsidRPr="005825D4">
        <w:rPr>
          <w:bCs/>
        </w:rPr>
        <w:t>(2)</w:t>
      </w:r>
      <w:r w:rsidR="0031205C" w:rsidRPr="005825D4">
        <w:rPr>
          <w:bCs/>
          <w:i/>
        </w:rPr>
        <w:t>(c)</w:t>
      </w:r>
      <w:r w:rsidR="00861858" w:rsidRPr="005825D4">
        <w:rPr>
          <w:bCs/>
        </w:rPr>
        <w:t xml:space="preserve"> of the Constitution or, indeed, that it might not attract criminal sanction depending on what is being advocated or expressed. However, besides the question of how control could be exercised jurisprudentially in respect of hurtful words, daily human interaction produces </w:t>
      </w:r>
      <w:r w:rsidR="00861858" w:rsidRPr="005825D4">
        <w:rPr>
          <w:bCs/>
        </w:rPr>
        <w:lastRenderedPageBreak/>
        <w:t>a multitude of instances where hurtful words are uttered</w:t>
      </w:r>
      <w:r w:rsidR="00861858" w:rsidRPr="005825D4">
        <w:rPr>
          <w:rStyle w:val="FootnoteReference"/>
          <w:bCs/>
        </w:rPr>
        <w:footnoteReference w:id="51"/>
      </w:r>
      <w:r w:rsidR="00861858" w:rsidRPr="005825D4">
        <w:rPr>
          <w:bCs/>
        </w:rPr>
        <w:t xml:space="preserve"> and thus, to prohibit words that have that effect, is going too far. So, too, a host of jokes might be hurtful t</w:t>
      </w:r>
      <w:r w:rsidR="00FF3478" w:rsidRPr="005825D4">
        <w:rPr>
          <w:bCs/>
        </w:rPr>
        <w:t>o those who bear the brunt of them</w:t>
      </w:r>
      <w:r w:rsidR="00861858" w:rsidRPr="005825D4">
        <w:rPr>
          <w:bCs/>
        </w:rPr>
        <w:t>. Are we to entertain complaints that extend to jokes that are not within the limitations of s 16</w:t>
      </w:r>
      <w:r w:rsidR="0031205C" w:rsidRPr="005825D4">
        <w:rPr>
          <w:bCs/>
        </w:rPr>
        <w:t>(2)</w:t>
      </w:r>
      <w:r w:rsidR="0031205C" w:rsidRPr="005825D4">
        <w:rPr>
          <w:bCs/>
          <w:i/>
        </w:rPr>
        <w:t>(c)</w:t>
      </w:r>
      <w:r w:rsidR="00861858" w:rsidRPr="005825D4">
        <w:rPr>
          <w:bCs/>
        </w:rPr>
        <w:t xml:space="preserve"> of the Constitution? In the Canadian case of </w:t>
      </w:r>
      <w:r w:rsidR="00861858" w:rsidRPr="005825D4">
        <w:rPr>
          <w:bCs/>
          <w:i/>
        </w:rPr>
        <w:t>Lund v Boisson</w:t>
      </w:r>
      <w:r w:rsidR="00861858" w:rsidRPr="005825D4">
        <w:rPr>
          <w:bCs/>
        </w:rPr>
        <w:t>, 2012 ABCA 300, the following was said:</w:t>
      </w:r>
    </w:p>
    <w:p w:rsidR="00861858" w:rsidRPr="005825D4" w:rsidRDefault="00861858" w:rsidP="00A722C4">
      <w:pPr>
        <w:spacing w:line="360" w:lineRule="auto"/>
        <w:rPr>
          <w:bCs/>
          <w:sz w:val="22"/>
        </w:rPr>
      </w:pPr>
      <w:r w:rsidRPr="005825D4">
        <w:rPr>
          <w:bCs/>
          <w:sz w:val="22"/>
        </w:rPr>
        <w:t>‘Language which is offensive and hurtful to others does not necessarily qualify as hateful or contemptuous speech.’</w:t>
      </w:r>
      <w:r w:rsidRPr="005825D4">
        <w:rPr>
          <w:rStyle w:val="FootnoteReference"/>
          <w:bCs/>
          <w:sz w:val="22"/>
        </w:rPr>
        <w:footnoteReference w:id="52"/>
      </w:r>
    </w:p>
    <w:p w:rsidR="009D777A" w:rsidRPr="005825D4" w:rsidRDefault="009D777A" w:rsidP="00A722C4">
      <w:pPr>
        <w:spacing w:line="360" w:lineRule="auto"/>
        <w:rPr>
          <w:bCs/>
        </w:rPr>
      </w:pPr>
      <w:r w:rsidRPr="005825D4">
        <w:rPr>
          <w:bCs/>
        </w:rPr>
        <w:t>Professor Pierre de Vos, in dealing with hurtfulness as a concept and in contending that everyday conversation in South Africa would, in terms of s 10(1)</w:t>
      </w:r>
      <w:r w:rsidRPr="005825D4">
        <w:rPr>
          <w:bCs/>
          <w:i/>
        </w:rPr>
        <w:t>(a)</w:t>
      </w:r>
      <w:r w:rsidRPr="005825D4">
        <w:rPr>
          <w:bCs/>
        </w:rPr>
        <w:t xml:space="preserve"> be prohibited, says the following:</w:t>
      </w:r>
    </w:p>
    <w:p w:rsidR="009D777A" w:rsidRPr="005825D4" w:rsidRDefault="009D777A" w:rsidP="00A722C4">
      <w:pPr>
        <w:spacing w:line="360" w:lineRule="auto"/>
        <w:rPr>
          <w:bCs/>
          <w:sz w:val="22"/>
        </w:rPr>
      </w:pPr>
      <w:r w:rsidRPr="005825D4">
        <w:rPr>
          <w:bCs/>
          <w:sz w:val="22"/>
        </w:rPr>
        <w:t xml:space="preserve">‘This is so absurdly broad that it is difficult to see how </w:t>
      </w:r>
      <w:r w:rsidR="006B0641" w:rsidRPr="005825D4">
        <w:rPr>
          <w:bCs/>
          <w:sz w:val="22"/>
        </w:rPr>
        <w:t xml:space="preserve">. . . </w:t>
      </w:r>
      <w:r w:rsidRPr="005825D4">
        <w:rPr>
          <w:bCs/>
          <w:sz w:val="22"/>
        </w:rPr>
        <w:t>the hate speech provision is nevertheless justifiable in terms of the limitation clause.’</w:t>
      </w:r>
      <w:r w:rsidR="00D377E8" w:rsidRPr="005825D4">
        <w:rPr>
          <w:rStyle w:val="FootnoteReference"/>
          <w:bCs/>
          <w:sz w:val="22"/>
        </w:rPr>
        <w:footnoteReference w:id="53"/>
      </w:r>
    </w:p>
    <w:p w:rsidR="009D777A" w:rsidRPr="005825D4" w:rsidRDefault="009D777A" w:rsidP="00A722C4">
      <w:pPr>
        <w:spacing w:line="360" w:lineRule="auto"/>
        <w:rPr>
          <w:bCs/>
        </w:rPr>
      </w:pPr>
      <w:r w:rsidRPr="005825D4">
        <w:rPr>
          <w:bCs/>
        </w:rPr>
        <w:t>He goes on to state:</w:t>
      </w:r>
    </w:p>
    <w:p w:rsidR="009D777A" w:rsidRPr="005825D4" w:rsidRDefault="009D777A" w:rsidP="00A722C4">
      <w:pPr>
        <w:spacing w:line="360" w:lineRule="auto"/>
        <w:rPr>
          <w:bCs/>
          <w:sz w:val="22"/>
        </w:rPr>
      </w:pPr>
      <w:r w:rsidRPr="005825D4">
        <w:rPr>
          <w:bCs/>
          <w:sz w:val="22"/>
        </w:rPr>
        <w:t>‘The</w:t>
      </w:r>
      <w:r w:rsidR="00D377E8" w:rsidRPr="005825D4">
        <w:rPr>
          <w:bCs/>
          <w:sz w:val="22"/>
        </w:rPr>
        <w:t xml:space="preserve"> current provision is also bad on policy grounds. In a vibrant democracy which respects difference and diversity – also diversity of opinion – it would be dangerous to ban all speech that could be construed as intending to be hurtful to another person merely because of that person’s race, sex, sexual orientation, religion, language, ethnicity, culture or age. Some of us remember all too well how the apartheid government tried to censor our thoughts and our speech. Do we really want to go back to a situation where we are so scared to express our deeply and sincerely held and honest opinions that we shut up because we fear we might be found guilty of hate speech?’</w:t>
      </w:r>
    </w:p>
    <w:p w:rsidR="006B0641" w:rsidRPr="005825D4" w:rsidRDefault="006B0641" w:rsidP="00A722C4">
      <w:pPr>
        <w:spacing w:line="360" w:lineRule="auto"/>
        <w:rPr>
          <w:bCs/>
        </w:rPr>
      </w:pPr>
    </w:p>
    <w:p w:rsidR="00861858" w:rsidRPr="005825D4" w:rsidRDefault="006721AB" w:rsidP="00A722C4">
      <w:pPr>
        <w:spacing w:line="360" w:lineRule="auto"/>
        <w:rPr>
          <w:bCs/>
        </w:rPr>
      </w:pPr>
      <w:r w:rsidRPr="005825D4">
        <w:rPr>
          <w:bCs/>
        </w:rPr>
        <w:t>[70</w:t>
      </w:r>
      <w:r w:rsidR="006B0641" w:rsidRPr="005825D4">
        <w:rPr>
          <w:bCs/>
        </w:rPr>
        <w:t>]</w:t>
      </w:r>
      <w:r w:rsidR="006B0641" w:rsidRPr="005825D4">
        <w:rPr>
          <w:bCs/>
        </w:rPr>
        <w:tab/>
      </w:r>
      <w:r w:rsidR="00861858" w:rsidRPr="005825D4">
        <w:rPr>
          <w:bCs/>
        </w:rPr>
        <w:t>I accept unrese</w:t>
      </w:r>
      <w:r w:rsidR="00B978A4" w:rsidRPr="005825D4">
        <w:rPr>
          <w:bCs/>
        </w:rPr>
        <w:t>rvedly that harm envisaged in s </w:t>
      </w:r>
      <w:r w:rsidR="00861858" w:rsidRPr="005825D4">
        <w:rPr>
          <w:bCs/>
        </w:rPr>
        <w:t>16 of the Constitution and contemplated in the provisions of s</w:t>
      </w:r>
      <w:r w:rsidR="00B978A4" w:rsidRPr="005825D4">
        <w:rPr>
          <w:bCs/>
        </w:rPr>
        <w:t> </w:t>
      </w:r>
      <w:r w:rsidR="00861858" w:rsidRPr="005825D4">
        <w:rPr>
          <w:bCs/>
        </w:rPr>
        <w:t xml:space="preserve">10(1) of PEPUDA, need not necessarily be physical harm, but can be related to psychological impact. However, the impact has to be more than just hurtful in the dictionary sense. </w:t>
      </w:r>
      <w:r w:rsidR="00537A8C" w:rsidRPr="005825D4">
        <w:rPr>
          <w:bCs/>
        </w:rPr>
        <w:t>What is clear is t</w:t>
      </w:r>
      <w:r w:rsidR="00B978A4" w:rsidRPr="005825D4">
        <w:rPr>
          <w:bCs/>
        </w:rPr>
        <w:t>hat s </w:t>
      </w:r>
      <w:r w:rsidR="00537A8C" w:rsidRPr="005825D4">
        <w:rPr>
          <w:bCs/>
        </w:rPr>
        <w:t xml:space="preserve">10, as best as </w:t>
      </w:r>
      <w:r w:rsidR="00FB0FED" w:rsidRPr="005825D4">
        <w:rPr>
          <w:bCs/>
        </w:rPr>
        <w:t>can</w:t>
      </w:r>
      <w:r w:rsidR="00537A8C" w:rsidRPr="005825D4">
        <w:rPr>
          <w:bCs/>
        </w:rPr>
        <w:t xml:space="preserve"> possibly be discerned, </w:t>
      </w:r>
      <w:r w:rsidR="00FB0FED" w:rsidRPr="005825D4">
        <w:rPr>
          <w:bCs/>
        </w:rPr>
        <w:t>travels far beyond the limitation envisaged</w:t>
      </w:r>
      <w:r w:rsidR="00B978A4" w:rsidRPr="005825D4">
        <w:rPr>
          <w:bCs/>
        </w:rPr>
        <w:t xml:space="preserve"> by s </w:t>
      </w:r>
      <w:r w:rsidR="00537A8C" w:rsidRPr="005825D4">
        <w:rPr>
          <w:bCs/>
        </w:rPr>
        <w:t>16(2)</w:t>
      </w:r>
      <w:r w:rsidR="00537A8C" w:rsidRPr="005825D4">
        <w:rPr>
          <w:bCs/>
          <w:i/>
        </w:rPr>
        <w:t>(c)</w:t>
      </w:r>
      <w:r w:rsidR="00FB0FED" w:rsidRPr="005825D4">
        <w:rPr>
          <w:bCs/>
        </w:rPr>
        <w:t xml:space="preserve"> of the Constitution</w:t>
      </w:r>
      <w:r w:rsidR="00537A8C" w:rsidRPr="005825D4">
        <w:rPr>
          <w:bCs/>
        </w:rPr>
        <w:t xml:space="preserve">. One must be careful not to stifle the </w:t>
      </w:r>
      <w:r w:rsidR="000910A1" w:rsidRPr="005825D4">
        <w:rPr>
          <w:bCs/>
        </w:rPr>
        <w:t>views</w:t>
      </w:r>
      <w:r w:rsidR="00537A8C" w:rsidRPr="005825D4">
        <w:rPr>
          <w:bCs/>
        </w:rPr>
        <w:t xml:space="preserve"> of those who </w:t>
      </w:r>
      <w:r w:rsidR="00FB0FED" w:rsidRPr="005825D4">
        <w:rPr>
          <w:bCs/>
        </w:rPr>
        <w:t xml:space="preserve">speak out of genuine conviction and who </w:t>
      </w:r>
      <w:r w:rsidR="00537A8C" w:rsidRPr="005825D4">
        <w:rPr>
          <w:bCs/>
        </w:rPr>
        <w:t xml:space="preserve">do not fall within the </w:t>
      </w:r>
      <w:r w:rsidR="00FB0FED" w:rsidRPr="005825D4">
        <w:rPr>
          <w:bCs/>
        </w:rPr>
        <w:t>limitation</w:t>
      </w:r>
      <w:r w:rsidR="00B978A4" w:rsidRPr="005825D4">
        <w:rPr>
          <w:bCs/>
        </w:rPr>
        <w:t xml:space="preserve"> set by s </w:t>
      </w:r>
      <w:r w:rsidR="00537A8C" w:rsidRPr="005825D4">
        <w:rPr>
          <w:bCs/>
        </w:rPr>
        <w:t>16(2)</w:t>
      </w:r>
      <w:r w:rsidR="00537A8C" w:rsidRPr="005825D4">
        <w:rPr>
          <w:bCs/>
          <w:i/>
        </w:rPr>
        <w:t>(c)</w:t>
      </w:r>
      <w:r w:rsidR="00537A8C" w:rsidRPr="005825D4">
        <w:rPr>
          <w:bCs/>
        </w:rPr>
        <w:t xml:space="preserve"> </w:t>
      </w:r>
      <w:r w:rsidR="00BD7F48" w:rsidRPr="005825D4">
        <w:rPr>
          <w:bCs/>
        </w:rPr>
        <w:t>and</w:t>
      </w:r>
      <w:r w:rsidR="00FB0FED" w:rsidRPr="005825D4">
        <w:rPr>
          <w:bCs/>
        </w:rPr>
        <w:t xml:space="preserve"> where there is no justification </w:t>
      </w:r>
      <w:r w:rsidR="00FB0FED" w:rsidRPr="005825D4">
        <w:rPr>
          <w:bCs/>
        </w:rPr>
        <w:lastRenderedPageBreak/>
        <w:t xml:space="preserve">for such limitation in an open and democratic society based on human rights, dignity, equality and freedom. </w:t>
      </w:r>
    </w:p>
    <w:p w:rsidR="00861858" w:rsidRPr="005825D4" w:rsidRDefault="00861858" w:rsidP="00A722C4">
      <w:pPr>
        <w:spacing w:line="360" w:lineRule="auto"/>
        <w:rPr>
          <w:bCs/>
        </w:rPr>
      </w:pPr>
    </w:p>
    <w:p w:rsidR="003C5F63" w:rsidRPr="005825D4" w:rsidRDefault="00876914" w:rsidP="00A722C4">
      <w:pPr>
        <w:spacing w:line="360" w:lineRule="auto"/>
        <w:rPr>
          <w:bCs/>
        </w:rPr>
      </w:pPr>
      <w:r w:rsidRPr="005825D4">
        <w:rPr>
          <w:bCs/>
        </w:rPr>
        <w:t>[</w:t>
      </w:r>
      <w:r w:rsidR="006721AB" w:rsidRPr="005825D4">
        <w:rPr>
          <w:bCs/>
        </w:rPr>
        <w:t>71</w:t>
      </w:r>
      <w:r w:rsidR="00937B9C" w:rsidRPr="005825D4">
        <w:rPr>
          <w:bCs/>
        </w:rPr>
        <w:t>]</w:t>
      </w:r>
      <w:r w:rsidR="00937B9C" w:rsidRPr="005825D4">
        <w:rPr>
          <w:bCs/>
        </w:rPr>
        <w:tab/>
      </w:r>
      <w:r w:rsidR="00C63190" w:rsidRPr="005825D4">
        <w:rPr>
          <w:bCs/>
        </w:rPr>
        <w:t>In an attempt to</w:t>
      </w:r>
      <w:r w:rsidR="00974E14" w:rsidRPr="005825D4">
        <w:rPr>
          <w:bCs/>
        </w:rPr>
        <w:t xml:space="preserve"> overcome the difficulties described above</w:t>
      </w:r>
      <w:r w:rsidR="00EB271E" w:rsidRPr="005825D4">
        <w:rPr>
          <w:bCs/>
        </w:rPr>
        <w:t xml:space="preserve">, </w:t>
      </w:r>
      <w:r w:rsidR="00974E14" w:rsidRPr="005825D4">
        <w:rPr>
          <w:bCs/>
        </w:rPr>
        <w:t>it was submitted on the</w:t>
      </w:r>
      <w:r w:rsidR="00670EDC" w:rsidRPr="005825D4">
        <w:rPr>
          <w:bCs/>
        </w:rPr>
        <w:t xml:space="preserve"> Minister’s </w:t>
      </w:r>
      <w:r w:rsidR="00974E14" w:rsidRPr="005825D4">
        <w:rPr>
          <w:bCs/>
        </w:rPr>
        <w:t xml:space="preserve">behalf </w:t>
      </w:r>
      <w:r w:rsidR="00F1325F" w:rsidRPr="005825D4">
        <w:rPr>
          <w:bCs/>
        </w:rPr>
        <w:t>that the complaint lodged in the equality court was lodged</w:t>
      </w:r>
      <w:r w:rsidR="00EB128E" w:rsidRPr="005825D4">
        <w:rPr>
          <w:bCs/>
        </w:rPr>
        <w:t>,</w:t>
      </w:r>
      <w:r w:rsidR="00B978A4" w:rsidRPr="005825D4">
        <w:rPr>
          <w:bCs/>
        </w:rPr>
        <w:t xml:space="preserve"> both in terms of ss </w:t>
      </w:r>
      <w:r w:rsidR="00F1325F" w:rsidRPr="005825D4">
        <w:rPr>
          <w:bCs/>
        </w:rPr>
        <w:t>10 and 11 of PEPUDA as well as</w:t>
      </w:r>
      <w:r w:rsidR="00EB128E" w:rsidRPr="005825D4">
        <w:rPr>
          <w:bCs/>
        </w:rPr>
        <w:t xml:space="preserve"> in terms of</w:t>
      </w:r>
      <w:r w:rsidR="00B978A4" w:rsidRPr="005825D4">
        <w:rPr>
          <w:bCs/>
        </w:rPr>
        <w:t xml:space="preserve"> s </w:t>
      </w:r>
      <w:r w:rsidR="00F1325F" w:rsidRPr="005825D4">
        <w:rPr>
          <w:bCs/>
        </w:rPr>
        <w:t xml:space="preserve">16 of the Constitution. </w:t>
      </w:r>
      <w:r w:rsidR="00296722" w:rsidRPr="005825D4">
        <w:rPr>
          <w:bCs/>
        </w:rPr>
        <w:t>That submission is</w:t>
      </w:r>
      <w:r w:rsidR="008E7469" w:rsidRPr="005825D4">
        <w:rPr>
          <w:bCs/>
        </w:rPr>
        <w:t xml:space="preserve"> fallacious. First, </w:t>
      </w:r>
      <w:r w:rsidR="003C5F63" w:rsidRPr="005825D4">
        <w:rPr>
          <w:bCs/>
        </w:rPr>
        <w:t xml:space="preserve">the founding affidavit by the HRC </w:t>
      </w:r>
      <w:r w:rsidR="008E7469" w:rsidRPr="005825D4">
        <w:rPr>
          <w:bCs/>
        </w:rPr>
        <w:t>is adamant that</w:t>
      </w:r>
      <w:r w:rsidR="003C5F63" w:rsidRPr="005825D4">
        <w:rPr>
          <w:bCs/>
        </w:rPr>
        <w:t xml:space="preserve"> the application </w:t>
      </w:r>
      <w:r w:rsidR="008E7469" w:rsidRPr="005825D4">
        <w:rPr>
          <w:bCs/>
        </w:rPr>
        <w:t>was</w:t>
      </w:r>
      <w:r w:rsidR="003C5F63" w:rsidRPr="005825D4">
        <w:rPr>
          <w:bCs/>
        </w:rPr>
        <w:t xml:space="preserve"> brought in terms of s</w:t>
      </w:r>
      <w:r w:rsidR="00B978A4" w:rsidRPr="005825D4">
        <w:rPr>
          <w:bCs/>
        </w:rPr>
        <w:t> </w:t>
      </w:r>
      <w:r w:rsidR="003C5F63" w:rsidRPr="005825D4">
        <w:rPr>
          <w:bCs/>
        </w:rPr>
        <w:t>20(1)</w:t>
      </w:r>
      <w:r w:rsidR="003C5F63" w:rsidRPr="005825D4">
        <w:rPr>
          <w:bCs/>
          <w:i/>
        </w:rPr>
        <w:t xml:space="preserve">(f) </w:t>
      </w:r>
      <w:r w:rsidR="003C5F63" w:rsidRPr="005825D4">
        <w:rPr>
          <w:bCs/>
        </w:rPr>
        <w:t>of PEPUDA, which reads as follows:</w:t>
      </w:r>
    </w:p>
    <w:p w:rsidR="003C5F63" w:rsidRPr="005825D4" w:rsidRDefault="003C5F63" w:rsidP="00A722C4">
      <w:pPr>
        <w:spacing w:line="360" w:lineRule="auto"/>
        <w:rPr>
          <w:bCs/>
          <w:sz w:val="22"/>
        </w:rPr>
      </w:pPr>
      <w:r w:rsidRPr="005825D4">
        <w:rPr>
          <w:bCs/>
          <w:sz w:val="22"/>
        </w:rPr>
        <w:t xml:space="preserve">‘(1) Proceedings under this Act may be instituted by – </w:t>
      </w:r>
    </w:p>
    <w:p w:rsidR="003C5F63" w:rsidRPr="005825D4" w:rsidRDefault="003C5F63" w:rsidP="00A722C4">
      <w:pPr>
        <w:spacing w:line="360" w:lineRule="auto"/>
        <w:rPr>
          <w:bCs/>
          <w:sz w:val="22"/>
        </w:rPr>
      </w:pPr>
      <w:r w:rsidRPr="005825D4">
        <w:rPr>
          <w:bCs/>
          <w:sz w:val="22"/>
        </w:rPr>
        <w:t>. . .</w:t>
      </w:r>
    </w:p>
    <w:p w:rsidR="003C5F63" w:rsidRPr="005825D4" w:rsidRDefault="00E32625" w:rsidP="00A722C4">
      <w:pPr>
        <w:spacing w:line="360" w:lineRule="auto"/>
        <w:rPr>
          <w:bCs/>
          <w:sz w:val="22"/>
        </w:rPr>
      </w:pPr>
      <w:r w:rsidRPr="005825D4">
        <w:rPr>
          <w:bCs/>
          <w:i/>
          <w:sz w:val="22"/>
        </w:rPr>
        <w:t>(f)</w:t>
      </w:r>
      <w:r w:rsidRPr="005825D4">
        <w:rPr>
          <w:bCs/>
          <w:sz w:val="22"/>
        </w:rPr>
        <w:t xml:space="preserve"> </w:t>
      </w:r>
      <w:r w:rsidR="003C5F63" w:rsidRPr="005825D4">
        <w:rPr>
          <w:bCs/>
          <w:sz w:val="22"/>
        </w:rPr>
        <w:t>the South African Human Rights Commission, or the Commission for Gender Equality.’</w:t>
      </w:r>
    </w:p>
    <w:p w:rsidR="002E2AD7" w:rsidRPr="005825D4" w:rsidRDefault="00636743" w:rsidP="00A722C4">
      <w:pPr>
        <w:spacing w:line="360" w:lineRule="auto"/>
        <w:rPr>
          <w:bCs/>
        </w:rPr>
      </w:pPr>
      <w:r w:rsidRPr="005825D4">
        <w:rPr>
          <w:bCs/>
        </w:rPr>
        <w:t>Proceedings in the equality cou</w:t>
      </w:r>
      <w:r w:rsidR="00B978A4" w:rsidRPr="005825D4">
        <w:rPr>
          <w:bCs/>
        </w:rPr>
        <w:t>rt are instituted in terms of s </w:t>
      </w:r>
      <w:r w:rsidRPr="005825D4">
        <w:rPr>
          <w:bCs/>
        </w:rPr>
        <w:t>20 of PEPUDA and are conducted within that legislative framework. Order</w:t>
      </w:r>
      <w:r w:rsidR="00D26A30" w:rsidRPr="005825D4">
        <w:rPr>
          <w:bCs/>
        </w:rPr>
        <w:t>s</w:t>
      </w:r>
      <w:r w:rsidR="00B978A4" w:rsidRPr="005825D4">
        <w:rPr>
          <w:bCs/>
        </w:rPr>
        <w:t xml:space="preserve"> are issued in terms of s </w:t>
      </w:r>
      <w:r w:rsidRPr="005825D4">
        <w:rPr>
          <w:bCs/>
        </w:rPr>
        <w:t>21. It is thus to the pr</w:t>
      </w:r>
      <w:r w:rsidR="00B978A4" w:rsidRPr="005825D4">
        <w:rPr>
          <w:bCs/>
        </w:rPr>
        <w:t>ovisions of PEPUDA, primarily s </w:t>
      </w:r>
      <w:r w:rsidRPr="005825D4">
        <w:rPr>
          <w:bCs/>
        </w:rPr>
        <w:t>10</w:t>
      </w:r>
      <w:r w:rsidR="00D26A30" w:rsidRPr="005825D4">
        <w:rPr>
          <w:bCs/>
        </w:rPr>
        <w:t>(1)</w:t>
      </w:r>
      <w:r w:rsidRPr="005825D4">
        <w:rPr>
          <w:bCs/>
        </w:rPr>
        <w:t xml:space="preserve">, read with associated sections, that one must turn one’s attention. </w:t>
      </w:r>
    </w:p>
    <w:p w:rsidR="002E2AD7" w:rsidRPr="005825D4" w:rsidRDefault="002E2AD7" w:rsidP="00A722C4">
      <w:pPr>
        <w:spacing w:line="360" w:lineRule="auto"/>
        <w:rPr>
          <w:bCs/>
        </w:rPr>
      </w:pPr>
    </w:p>
    <w:p w:rsidR="00806C0F" w:rsidRPr="005825D4" w:rsidRDefault="006721AB" w:rsidP="00A722C4">
      <w:pPr>
        <w:spacing w:line="360" w:lineRule="auto"/>
        <w:rPr>
          <w:bCs/>
        </w:rPr>
      </w:pPr>
      <w:r w:rsidRPr="005825D4">
        <w:rPr>
          <w:bCs/>
        </w:rPr>
        <w:t>[72</w:t>
      </w:r>
      <w:r w:rsidR="002E2AD7" w:rsidRPr="005825D4">
        <w:rPr>
          <w:bCs/>
        </w:rPr>
        <w:t>]</w:t>
      </w:r>
      <w:r w:rsidR="002E2AD7" w:rsidRPr="005825D4">
        <w:rPr>
          <w:bCs/>
        </w:rPr>
        <w:tab/>
      </w:r>
      <w:r w:rsidR="008E7469" w:rsidRPr="005825D4">
        <w:rPr>
          <w:bCs/>
        </w:rPr>
        <w:t>Second, t</w:t>
      </w:r>
      <w:r w:rsidR="00806C0F" w:rsidRPr="005825D4">
        <w:rPr>
          <w:bCs/>
        </w:rPr>
        <w:t xml:space="preserve">he founding affidavit </w:t>
      </w:r>
      <w:r w:rsidR="00636743" w:rsidRPr="005825D4">
        <w:rPr>
          <w:bCs/>
        </w:rPr>
        <w:t xml:space="preserve">by the HRC </w:t>
      </w:r>
      <w:r w:rsidR="00DD607D" w:rsidRPr="005825D4">
        <w:rPr>
          <w:bCs/>
        </w:rPr>
        <w:t>makes it clear that the complaint was</w:t>
      </w:r>
      <w:r w:rsidR="00806C0F" w:rsidRPr="005825D4">
        <w:rPr>
          <w:bCs/>
        </w:rPr>
        <w:t xml:space="preserve"> based squarely on the prohibition of hate speech </w:t>
      </w:r>
      <w:r w:rsidR="00DD607D" w:rsidRPr="005825D4">
        <w:rPr>
          <w:bCs/>
        </w:rPr>
        <w:t>in terms</w:t>
      </w:r>
      <w:r w:rsidR="00B978A4" w:rsidRPr="005825D4">
        <w:rPr>
          <w:bCs/>
        </w:rPr>
        <w:t xml:space="preserve"> of s </w:t>
      </w:r>
      <w:r w:rsidR="00806C0F" w:rsidRPr="005825D4">
        <w:rPr>
          <w:bCs/>
        </w:rPr>
        <w:t xml:space="preserve">10 of PEPUDA. </w:t>
      </w:r>
      <w:r w:rsidR="00DD607D" w:rsidRPr="005825D4">
        <w:rPr>
          <w:bCs/>
        </w:rPr>
        <w:t>In this regard, the relevant part of para 21 of the affidavit is pertinent. It reads as follows:</w:t>
      </w:r>
    </w:p>
    <w:p w:rsidR="00806C0F" w:rsidRPr="005825D4" w:rsidRDefault="00806C0F" w:rsidP="00A722C4">
      <w:pPr>
        <w:spacing w:line="360" w:lineRule="auto"/>
        <w:rPr>
          <w:bCs/>
          <w:sz w:val="22"/>
        </w:rPr>
      </w:pPr>
      <w:r w:rsidRPr="005825D4">
        <w:rPr>
          <w:bCs/>
          <w:sz w:val="22"/>
        </w:rPr>
        <w:t>‘</w:t>
      </w:r>
      <w:r w:rsidR="00DD607D" w:rsidRPr="005825D4">
        <w:rPr>
          <w:bCs/>
          <w:sz w:val="22"/>
        </w:rPr>
        <w:t>[T]</w:t>
      </w:r>
      <w:r w:rsidRPr="005825D4">
        <w:rPr>
          <w:bCs/>
          <w:sz w:val="22"/>
        </w:rPr>
        <w:t>he contents of the article and cartoon amount to hate speech as contemplated in section 10 of PEPUDA, read with section 9(4) of the Constitution, which provides as follows:</w:t>
      </w:r>
    </w:p>
    <w:p w:rsidR="00806C0F" w:rsidRPr="005825D4" w:rsidRDefault="00806C0F" w:rsidP="00A722C4">
      <w:pPr>
        <w:spacing w:line="360" w:lineRule="auto"/>
        <w:rPr>
          <w:bCs/>
          <w:sz w:val="22"/>
        </w:rPr>
      </w:pPr>
      <w:r w:rsidRPr="005825D4">
        <w:rPr>
          <w:bCs/>
          <w:sz w:val="22"/>
        </w:rPr>
        <w:t>21.1.1 Section 10 of PEPUDA</w:t>
      </w:r>
    </w:p>
    <w:p w:rsidR="00806C0F" w:rsidRPr="005825D4" w:rsidRDefault="00806C0F" w:rsidP="00A722C4">
      <w:pPr>
        <w:spacing w:line="360" w:lineRule="auto"/>
        <w:ind w:left="720"/>
        <w:rPr>
          <w:bCs/>
          <w:sz w:val="22"/>
        </w:rPr>
      </w:pPr>
      <w:r w:rsidRPr="005825D4">
        <w:rPr>
          <w:bCs/>
          <w:sz w:val="22"/>
        </w:rPr>
        <w:t>“(1) Subject to the proviso in section 12, no person may publish, propagate, advocate or communicate words based on one or more of the prohibition grounds, against any person, that could reasonably be construed to demonstrate a clear intention to –</w:t>
      </w:r>
    </w:p>
    <w:p w:rsidR="00806C0F" w:rsidRPr="005825D4" w:rsidRDefault="00806C0F" w:rsidP="00A722C4">
      <w:pPr>
        <w:pStyle w:val="ListParagraph"/>
        <w:numPr>
          <w:ilvl w:val="0"/>
          <w:numId w:val="5"/>
        </w:numPr>
        <w:spacing w:line="360" w:lineRule="auto"/>
        <w:rPr>
          <w:rFonts w:ascii="Arial" w:hAnsi="Arial" w:cs="Arial"/>
          <w:bCs/>
          <w:sz w:val="22"/>
        </w:rPr>
      </w:pPr>
      <w:r w:rsidRPr="005825D4">
        <w:rPr>
          <w:rFonts w:ascii="Arial" w:hAnsi="Arial" w:cs="Arial"/>
          <w:bCs/>
          <w:sz w:val="22"/>
        </w:rPr>
        <w:t>be hurtful;</w:t>
      </w:r>
    </w:p>
    <w:p w:rsidR="00806C0F" w:rsidRPr="005825D4" w:rsidRDefault="00806C0F" w:rsidP="00A722C4">
      <w:pPr>
        <w:pStyle w:val="ListParagraph"/>
        <w:numPr>
          <w:ilvl w:val="0"/>
          <w:numId w:val="5"/>
        </w:numPr>
        <w:spacing w:line="360" w:lineRule="auto"/>
        <w:rPr>
          <w:rFonts w:ascii="Arial" w:hAnsi="Arial" w:cs="Arial"/>
          <w:bCs/>
          <w:sz w:val="22"/>
        </w:rPr>
      </w:pPr>
      <w:r w:rsidRPr="005825D4">
        <w:rPr>
          <w:rFonts w:ascii="Arial" w:hAnsi="Arial" w:cs="Arial"/>
          <w:bCs/>
          <w:sz w:val="22"/>
        </w:rPr>
        <w:t xml:space="preserve">be harmful or </w:t>
      </w:r>
      <w:r w:rsidR="00B94EA7" w:rsidRPr="005825D4">
        <w:rPr>
          <w:rFonts w:ascii="Arial" w:hAnsi="Arial" w:cs="Arial"/>
          <w:bCs/>
          <w:sz w:val="22"/>
        </w:rPr>
        <w:t xml:space="preserve">to </w:t>
      </w:r>
      <w:r w:rsidRPr="005825D4">
        <w:rPr>
          <w:rFonts w:ascii="Arial" w:hAnsi="Arial" w:cs="Arial"/>
          <w:bCs/>
          <w:sz w:val="22"/>
        </w:rPr>
        <w:t>incite harm;</w:t>
      </w:r>
    </w:p>
    <w:p w:rsidR="00806C0F" w:rsidRPr="005825D4" w:rsidRDefault="00806C0F" w:rsidP="00A722C4">
      <w:pPr>
        <w:pStyle w:val="ListParagraph"/>
        <w:numPr>
          <w:ilvl w:val="0"/>
          <w:numId w:val="5"/>
        </w:numPr>
        <w:spacing w:line="360" w:lineRule="auto"/>
        <w:rPr>
          <w:rFonts w:ascii="Arial" w:hAnsi="Arial" w:cs="Arial"/>
          <w:bCs/>
          <w:sz w:val="22"/>
        </w:rPr>
      </w:pPr>
      <w:r w:rsidRPr="005825D4">
        <w:rPr>
          <w:rFonts w:ascii="Arial" w:hAnsi="Arial" w:cs="Arial"/>
          <w:bCs/>
          <w:sz w:val="22"/>
        </w:rPr>
        <w:t>promote or propagate hatred.”</w:t>
      </w:r>
    </w:p>
    <w:p w:rsidR="00806C0F" w:rsidRPr="005825D4" w:rsidRDefault="00806C0F" w:rsidP="00A722C4">
      <w:pPr>
        <w:spacing w:line="360" w:lineRule="auto"/>
        <w:rPr>
          <w:bCs/>
          <w:sz w:val="22"/>
        </w:rPr>
      </w:pPr>
      <w:r w:rsidRPr="005825D4">
        <w:rPr>
          <w:bCs/>
          <w:sz w:val="22"/>
        </w:rPr>
        <w:t xml:space="preserve">21.1.2 Section 9(4) of the Constitution </w:t>
      </w:r>
    </w:p>
    <w:p w:rsidR="00806C0F" w:rsidRPr="005825D4" w:rsidRDefault="00806C0F" w:rsidP="00A722C4">
      <w:pPr>
        <w:spacing w:line="360" w:lineRule="auto"/>
        <w:ind w:left="720"/>
        <w:rPr>
          <w:bCs/>
          <w:sz w:val="22"/>
        </w:rPr>
      </w:pPr>
      <w:r w:rsidRPr="005825D4">
        <w:rPr>
          <w:bCs/>
          <w:sz w:val="22"/>
        </w:rPr>
        <w:t>“No person may unfairly discriminate directly or indirectly against anyone on one or more grounds in terms of subsection (3). National legislation must be enacted to prevent or prohibit unfair discrimination.”’</w:t>
      </w:r>
    </w:p>
    <w:p w:rsidR="00F62381" w:rsidRPr="005825D4" w:rsidRDefault="00F62381" w:rsidP="00A722C4">
      <w:pPr>
        <w:pStyle w:val="FootnoteText"/>
        <w:spacing w:line="360" w:lineRule="auto"/>
        <w:rPr>
          <w:bCs/>
          <w:sz w:val="24"/>
          <w:szCs w:val="24"/>
        </w:rPr>
      </w:pPr>
    </w:p>
    <w:p w:rsidR="000431E1" w:rsidRPr="005825D4" w:rsidRDefault="00F62381" w:rsidP="00A722C4">
      <w:pPr>
        <w:pStyle w:val="FootnoteText"/>
        <w:spacing w:line="360" w:lineRule="auto"/>
        <w:rPr>
          <w:sz w:val="24"/>
          <w:szCs w:val="24"/>
          <w:lang w:val="en-ZA"/>
        </w:rPr>
      </w:pPr>
      <w:r w:rsidRPr="005825D4">
        <w:rPr>
          <w:bCs/>
          <w:sz w:val="24"/>
          <w:szCs w:val="24"/>
        </w:rPr>
        <w:lastRenderedPageBreak/>
        <w:t>[73]</w:t>
      </w:r>
      <w:r w:rsidRPr="005825D4">
        <w:rPr>
          <w:bCs/>
          <w:sz w:val="24"/>
          <w:szCs w:val="24"/>
        </w:rPr>
        <w:tab/>
      </w:r>
      <w:r w:rsidR="00DD607D" w:rsidRPr="005825D4">
        <w:rPr>
          <w:bCs/>
          <w:sz w:val="24"/>
          <w:szCs w:val="24"/>
        </w:rPr>
        <w:t>T</w:t>
      </w:r>
      <w:r w:rsidRPr="005825D4">
        <w:rPr>
          <w:bCs/>
          <w:sz w:val="24"/>
          <w:szCs w:val="24"/>
        </w:rPr>
        <w:t>hird</w:t>
      </w:r>
      <w:r w:rsidR="00636743" w:rsidRPr="005825D4">
        <w:rPr>
          <w:bCs/>
          <w:sz w:val="24"/>
          <w:szCs w:val="24"/>
        </w:rPr>
        <w:t>, t</w:t>
      </w:r>
      <w:r w:rsidR="00DD607D" w:rsidRPr="005825D4">
        <w:rPr>
          <w:bCs/>
          <w:sz w:val="24"/>
          <w:szCs w:val="24"/>
        </w:rPr>
        <w:t>he HRC made no reference to s 11 of PEPUDA in its founding affidavit.</w:t>
      </w:r>
      <w:r w:rsidR="000431E1" w:rsidRPr="005825D4">
        <w:rPr>
          <w:bCs/>
          <w:sz w:val="24"/>
          <w:szCs w:val="24"/>
        </w:rPr>
        <w:t xml:space="preserve"> </w:t>
      </w:r>
      <w:r w:rsidR="000431E1" w:rsidRPr="005825D4">
        <w:rPr>
          <w:sz w:val="24"/>
          <w:szCs w:val="24"/>
          <w:lang w:val="en-ZA"/>
        </w:rPr>
        <w:t>Section 11 of PEPUDA provides:</w:t>
      </w:r>
    </w:p>
    <w:p w:rsidR="000431E1" w:rsidRPr="005825D4" w:rsidRDefault="000431E1" w:rsidP="00A722C4">
      <w:pPr>
        <w:spacing w:line="360" w:lineRule="auto"/>
        <w:rPr>
          <w:bCs/>
          <w:sz w:val="22"/>
        </w:rPr>
      </w:pPr>
      <w:r w:rsidRPr="005825D4">
        <w:rPr>
          <w:sz w:val="22"/>
          <w:lang w:val="en-ZA"/>
        </w:rPr>
        <w:t>‘No person may subject any person to harassment.’</w:t>
      </w:r>
      <w:r w:rsidR="00DD607D" w:rsidRPr="005825D4">
        <w:rPr>
          <w:bCs/>
          <w:sz w:val="22"/>
        </w:rPr>
        <w:t xml:space="preserve"> </w:t>
      </w:r>
    </w:p>
    <w:p w:rsidR="00636743" w:rsidRPr="005825D4" w:rsidRDefault="00DD607D" w:rsidP="00A722C4">
      <w:pPr>
        <w:spacing w:line="360" w:lineRule="auto"/>
        <w:rPr>
          <w:bCs/>
        </w:rPr>
      </w:pPr>
      <w:r w:rsidRPr="005825D4">
        <w:rPr>
          <w:bCs/>
        </w:rPr>
        <w:t xml:space="preserve">The proceedings </w:t>
      </w:r>
      <w:r w:rsidR="00391765" w:rsidRPr="005825D4">
        <w:rPr>
          <w:bCs/>
        </w:rPr>
        <w:t xml:space="preserve">in the equality court </w:t>
      </w:r>
      <w:r w:rsidRPr="005825D4">
        <w:rPr>
          <w:bCs/>
        </w:rPr>
        <w:t xml:space="preserve">were conducted on the basis of an enquiry in relation to s 10 of PEPUDA, read with the necessarily associated provisions. </w:t>
      </w:r>
      <w:r w:rsidR="002E2AD7" w:rsidRPr="005825D4">
        <w:rPr>
          <w:bCs/>
        </w:rPr>
        <w:t>Section</w:t>
      </w:r>
      <w:r w:rsidR="00636743" w:rsidRPr="005825D4">
        <w:rPr>
          <w:bCs/>
        </w:rPr>
        <w:t xml:space="preserve"> 11 is dealt with summarily</w:t>
      </w:r>
      <w:r w:rsidRPr="005825D4">
        <w:rPr>
          <w:bCs/>
        </w:rPr>
        <w:t xml:space="preserve"> in the judgment of Moshidi J</w:t>
      </w:r>
      <w:r w:rsidR="00636743" w:rsidRPr="005825D4">
        <w:rPr>
          <w:bCs/>
        </w:rPr>
        <w:t xml:space="preserve"> and the </w:t>
      </w:r>
      <w:r w:rsidR="002E2AD7" w:rsidRPr="005825D4">
        <w:rPr>
          <w:bCs/>
        </w:rPr>
        <w:t>issue</w:t>
      </w:r>
      <w:r w:rsidR="000431E1" w:rsidRPr="005825D4">
        <w:rPr>
          <w:bCs/>
        </w:rPr>
        <w:t xml:space="preserve"> of harassment </w:t>
      </w:r>
      <w:r w:rsidR="00636743" w:rsidRPr="005825D4">
        <w:rPr>
          <w:bCs/>
        </w:rPr>
        <w:t xml:space="preserve">was referred to the </w:t>
      </w:r>
      <w:r w:rsidR="007C5746" w:rsidRPr="005825D4">
        <w:rPr>
          <w:bCs/>
        </w:rPr>
        <w:t>SAPS</w:t>
      </w:r>
      <w:r w:rsidR="00636743" w:rsidRPr="005825D4">
        <w:rPr>
          <w:bCs/>
        </w:rPr>
        <w:t xml:space="preserve"> for possible prosecution in terms of the</w:t>
      </w:r>
      <w:r w:rsidR="008238B4" w:rsidRPr="005825D4">
        <w:rPr>
          <w:bCs/>
        </w:rPr>
        <w:t xml:space="preserve"> Harassment</w:t>
      </w:r>
      <w:r w:rsidR="00636743" w:rsidRPr="005825D4">
        <w:rPr>
          <w:bCs/>
        </w:rPr>
        <w:t xml:space="preserve"> Act 17 of 2011</w:t>
      </w:r>
      <w:r w:rsidRPr="005825D4">
        <w:rPr>
          <w:bCs/>
        </w:rPr>
        <w:t>.</w:t>
      </w:r>
      <w:r w:rsidR="00636743" w:rsidRPr="005825D4">
        <w:rPr>
          <w:bCs/>
        </w:rPr>
        <w:t xml:space="preserve"> </w:t>
      </w:r>
      <w:r w:rsidR="000431E1" w:rsidRPr="005825D4">
        <w:rPr>
          <w:bCs/>
        </w:rPr>
        <w:t xml:space="preserve">There was no finding by the equality court that Mr Qwelane was guilty of harassment. </w:t>
      </w:r>
      <w:r w:rsidR="00B978A4" w:rsidRPr="005825D4">
        <w:rPr>
          <w:bCs/>
        </w:rPr>
        <w:t>Mr Qwelane’s attack on s </w:t>
      </w:r>
      <w:r w:rsidR="00636743" w:rsidRPr="005825D4">
        <w:rPr>
          <w:bCs/>
        </w:rPr>
        <w:t>11</w:t>
      </w:r>
      <w:r w:rsidR="000431E1" w:rsidRPr="005825D4">
        <w:rPr>
          <w:bCs/>
        </w:rPr>
        <w:t xml:space="preserve"> in his application to have it declared unconstitutional</w:t>
      </w:r>
      <w:r w:rsidR="00636743" w:rsidRPr="005825D4">
        <w:rPr>
          <w:bCs/>
        </w:rPr>
        <w:t xml:space="preserve"> must be seen in</w:t>
      </w:r>
      <w:r w:rsidR="008238B4" w:rsidRPr="005825D4">
        <w:rPr>
          <w:bCs/>
        </w:rPr>
        <w:t xml:space="preserve"> light </w:t>
      </w:r>
      <w:r w:rsidR="000431E1" w:rsidRPr="005825D4">
        <w:rPr>
          <w:bCs/>
        </w:rPr>
        <w:t>of the afore-going</w:t>
      </w:r>
      <w:r w:rsidR="008238B4" w:rsidRPr="005825D4">
        <w:rPr>
          <w:bCs/>
        </w:rPr>
        <w:t>.</w:t>
      </w:r>
      <w:r w:rsidRPr="005825D4">
        <w:rPr>
          <w:bCs/>
        </w:rPr>
        <w:t xml:space="preserve"> </w:t>
      </w:r>
      <w:r w:rsidR="00941675" w:rsidRPr="005825D4">
        <w:rPr>
          <w:bCs/>
        </w:rPr>
        <w:t>It is thus understandable that, b</w:t>
      </w:r>
      <w:r w:rsidRPr="005825D4">
        <w:rPr>
          <w:bCs/>
        </w:rPr>
        <w:t xml:space="preserve">efore us, no attention </w:t>
      </w:r>
      <w:r w:rsidR="00391765" w:rsidRPr="005825D4">
        <w:rPr>
          <w:bCs/>
        </w:rPr>
        <w:t xml:space="preserve">in oral argument </w:t>
      </w:r>
      <w:r w:rsidRPr="005825D4">
        <w:rPr>
          <w:bCs/>
        </w:rPr>
        <w:t>was paid to the provisions of s</w:t>
      </w:r>
      <w:r w:rsidR="00B978A4" w:rsidRPr="005825D4">
        <w:rPr>
          <w:bCs/>
        </w:rPr>
        <w:t> </w:t>
      </w:r>
      <w:r w:rsidRPr="005825D4">
        <w:rPr>
          <w:bCs/>
        </w:rPr>
        <w:t xml:space="preserve">11 by any of the parties or the </w:t>
      </w:r>
      <w:r w:rsidRPr="005825D4">
        <w:rPr>
          <w:bCs/>
          <w:i/>
        </w:rPr>
        <w:t>amici</w:t>
      </w:r>
      <w:r w:rsidRPr="005825D4">
        <w:rPr>
          <w:bCs/>
        </w:rPr>
        <w:t xml:space="preserve">. </w:t>
      </w:r>
    </w:p>
    <w:p w:rsidR="00636743" w:rsidRPr="005825D4" w:rsidRDefault="00636743" w:rsidP="00A722C4">
      <w:pPr>
        <w:spacing w:line="360" w:lineRule="auto"/>
        <w:rPr>
          <w:bCs/>
        </w:rPr>
      </w:pPr>
    </w:p>
    <w:p w:rsidR="00DD607D" w:rsidRPr="005825D4" w:rsidRDefault="001A5364" w:rsidP="00A722C4">
      <w:pPr>
        <w:spacing w:line="360" w:lineRule="auto"/>
        <w:rPr>
          <w:bCs/>
        </w:rPr>
      </w:pPr>
      <w:r w:rsidRPr="005825D4">
        <w:rPr>
          <w:bCs/>
        </w:rPr>
        <w:t>[74</w:t>
      </w:r>
      <w:r w:rsidR="00636743" w:rsidRPr="005825D4">
        <w:rPr>
          <w:bCs/>
        </w:rPr>
        <w:t>]</w:t>
      </w:r>
      <w:r w:rsidR="00636743" w:rsidRPr="005825D4">
        <w:rPr>
          <w:bCs/>
        </w:rPr>
        <w:tab/>
        <w:t>Fourth, i</w:t>
      </w:r>
      <w:r w:rsidR="00DD607D" w:rsidRPr="005825D4">
        <w:rPr>
          <w:bCs/>
        </w:rPr>
        <w:t>n relation to the Minister’s reliance on s 16, it must be pointed out that there is no such t</w:t>
      </w:r>
      <w:r w:rsidR="00391765" w:rsidRPr="005825D4">
        <w:rPr>
          <w:bCs/>
        </w:rPr>
        <w:t>hing in the equality court as a complaint or</w:t>
      </w:r>
      <w:r w:rsidR="00DD607D" w:rsidRPr="005825D4">
        <w:rPr>
          <w:bCs/>
        </w:rPr>
        <w:t xml:space="preserve"> enquiry in terms of s 16 of the Constitution. </w:t>
      </w:r>
      <w:r w:rsidR="002E2AD7" w:rsidRPr="005825D4">
        <w:rPr>
          <w:bCs/>
        </w:rPr>
        <w:t>In the present case s 16 was raised because of</w:t>
      </w:r>
      <w:r w:rsidR="008941B0" w:rsidRPr="005825D4">
        <w:rPr>
          <w:bCs/>
        </w:rPr>
        <w:t xml:space="preserve"> the </w:t>
      </w:r>
      <w:r w:rsidR="006B0641" w:rsidRPr="005825D4">
        <w:rPr>
          <w:bCs/>
        </w:rPr>
        <w:t>challenge to the constitutionality</w:t>
      </w:r>
      <w:r w:rsidR="008941B0" w:rsidRPr="005825D4">
        <w:rPr>
          <w:bCs/>
        </w:rPr>
        <w:t xml:space="preserve"> of the provisions of s 10</w:t>
      </w:r>
      <w:r w:rsidR="00EB271E" w:rsidRPr="005825D4">
        <w:rPr>
          <w:bCs/>
        </w:rPr>
        <w:t>(1)</w:t>
      </w:r>
      <w:r w:rsidR="008941B0" w:rsidRPr="005825D4">
        <w:rPr>
          <w:bCs/>
        </w:rPr>
        <w:t xml:space="preserve"> read with s 1 of PEPUDA</w:t>
      </w:r>
      <w:r w:rsidR="006B0641" w:rsidRPr="005825D4">
        <w:rPr>
          <w:bCs/>
        </w:rPr>
        <w:t>.</w:t>
      </w:r>
      <w:r w:rsidR="008941B0" w:rsidRPr="005825D4">
        <w:rPr>
          <w:bCs/>
        </w:rPr>
        <w:t xml:space="preserve"> </w:t>
      </w:r>
      <w:r w:rsidR="00EB271E" w:rsidRPr="005825D4">
        <w:rPr>
          <w:bCs/>
        </w:rPr>
        <w:t>In any event, the submission on behalf of the Minister offends against the principle of subsidiarity.</w:t>
      </w:r>
      <w:r w:rsidR="00AB38DB" w:rsidRPr="005825D4">
        <w:rPr>
          <w:bCs/>
        </w:rPr>
        <w:t xml:space="preserve"> The Constitutional Court has repeatedly held that where legislation has been enacted to give effect to a right, litigants should rely on that legislation in order to give effect to the right or, alternatively, challenge</w:t>
      </w:r>
      <w:r w:rsidR="00E51FD5" w:rsidRPr="005825D4">
        <w:rPr>
          <w:bCs/>
        </w:rPr>
        <w:t xml:space="preserve"> the</w:t>
      </w:r>
      <w:r w:rsidR="00AB38DB" w:rsidRPr="005825D4">
        <w:rPr>
          <w:bCs/>
        </w:rPr>
        <w:t xml:space="preserve"> legislation as being inconsistent with the Constitution.</w:t>
      </w:r>
      <w:r w:rsidR="00AB38DB" w:rsidRPr="005825D4">
        <w:rPr>
          <w:rStyle w:val="FootnoteReference"/>
          <w:bCs/>
        </w:rPr>
        <w:footnoteReference w:id="54"/>
      </w:r>
      <w:r w:rsidR="00AB38DB" w:rsidRPr="005825D4">
        <w:rPr>
          <w:bCs/>
        </w:rPr>
        <w:t xml:space="preserve"> In the present case, the HRC and the LGBTI community sought relief in terms of the provisions of PEPUDA. It is under that legislation that the proceedings in the equality court were instituted and it is in terms of provisions of PEPUDA that Moshidi J made certain findings. </w:t>
      </w:r>
      <w:r w:rsidR="002F7519" w:rsidRPr="005825D4">
        <w:rPr>
          <w:bCs/>
        </w:rPr>
        <w:t>The challenge to PEPUDA by Mr Qwelane was that it was unconstitutional in that it was inconsistent with the provisions of s 16 of the Constitution.</w:t>
      </w:r>
      <w:r w:rsidR="00257AD2" w:rsidRPr="005825D4">
        <w:rPr>
          <w:bCs/>
        </w:rPr>
        <w:t xml:space="preserve"> That is the principal issue in this appeal. It is now necessary to consider whether the proviso in s 12 of PEPUDA narrows the ambit of s 10(1) of PEPUDA so as to render it constitutionally permissible. </w:t>
      </w:r>
    </w:p>
    <w:p w:rsidR="00877417" w:rsidRPr="005825D4" w:rsidRDefault="00877417" w:rsidP="00A722C4">
      <w:pPr>
        <w:spacing w:line="360" w:lineRule="auto"/>
        <w:rPr>
          <w:bCs/>
        </w:rPr>
      </w:pPr>
    </w:p>
    <w:p w:rsidR="00636743" w:rsidRPr="005825D4" w:rsidRDefault="00636743" w:rsidP="00A722C4">
      <w:pPr>
        <w:spacing w:line="360" w:lineRule="auto"/>
        <w:rPr>
          <w:b/>
          <w:bCs/>
        </w:rPr>
      </w:pPr>
      <w:r w:rsidRPr="005825D4">
        <w:rPr>
          <w:b/>
          <w:bCs/>
        </w:rPr>
        <w:lastRenderedPageBreak/>
        <w:t>The provis</w:t>
      </w:r>
      <w:r w:rsidR="002E2AD7" w:rsidRPr="005825D4">
        <w:rPr>
          <w:b/>
          <w:bCs/>
        </w:rPr>
        <w:t>o</w:t>
      </w:r>
      <w:r w:rsidRPr="005825D4">
        <w:rPr>
          <w:b/>
          <w:bCs/>
        </w:rPr>
        <w:t xml:space="preserve"> in s 12 of PEPUDA</w:t>
      </w:r>
    </w:p>
    <w:p w:rsidR="00260E0B" w:rsidRPr="005825D4" w:rsidRDefault="001A5364" w:rsidP="00A722C4">
      <w:pPr>
        <w:spacing w:line="360" w:lineRule="auto"/>
        <w:rPr>
          <w:bCs/>
        </w:rPr>
      </w:pPr>
      <w:r w:rsidRPr="005825D4">
        <w:rPr>
          <w:bCs/>
        </w:rPr>
        <w:t>[75</w:t>
      </w:r>
      <w:r w:rsidR="00260E0B" w:rsidRPr="005825D4">
        <w:rPr>
          <w:bCs/>
        </w:rPr>
        <w:t>]</w:t>
      </w:r>
      <w:r w:rsidR="00260E0B" w:rsidRPr="005825D4">
        <w:rPr>
          <w:bCs/>
        </w:rPr>
        <w:tab/>
        <w:t xml:space="preserve">It has been suggested that the proviso </w:t>
      </w:r>
      <w:r w:rsidR="00B2183D" w:rsidRPr="005825D4">
        <w:rPr>
          <w:bCs/>
        </w:rPr>
        <w:t xml:space="preserve">in s 12 of PEPUDA might assist in narrowing the limitation on freedom of expression </w:t>
      </w:r>
      <w:r w:rsidR="005E73EE" w:rsidRPr="005825D4">
        <w:rPr>
          <w:bCs/>
        </w:rPr>
        <w:t>by</w:t>
      </w:r>
      <w:r w:rsidR="00B94EA7" w:rsidRPr="005825D4">
        <w:rPr>
          <w:bCs/>
        </w:rPr>
        <w:t xml:space="preserve"> s 10 of PEPUDA.</w:t>
      </w:r>
      <w:r w:rsidR="009B515D" w:rsidRPr="005825D4">
        <w:rPr>
          <w:rStyle w:val="FootnoteReference"/>
          <w:bCs/>
        </w:rPr>
        <w:footnoteReference w:id="55"/>
      </w:r>
      <w:r w:rsidR="00752C7E" w:rsidRPr="005825D4">
        <w:rPr>
          <w:bCs/>
        </w:rPr>
        <w:t xml:space="preserve"> Section 10 is said</w:t>
      </w:r>
      <w:r w:rsidR="005E73EE" w:rsidRPr="005825D4">
        <w:rPr>
          <w:bCs/>
        </w:rPr>
        <w:t xml:space="preserve"> to be subject to ‘the proviso’ </w:t>
      </w:r>
      <w:r w:rsidR="002E2AD7" w:rsidRPr="005825D4">
        <w:rPr>
          <w:bCs/>
        </w:rPr>
        <w:t>in s 12.</w:t>
      </w:r>
      <w:r w:rsidR="00752C7E" w:rsidRPr="005825D4">
        <w:rPr>
          <w:bCs/>
        </w:rPr>
        <w:t xml:space="preserve"> </w:t>
      </w:r>
      <w:r w:rsidR="00D26A30" w:rsidRPr="005825D4">
        <w:rPr>
          <w:bCs/>
        </w:rPr>
        <w:t xml:space="preserve">For convenience, </w:t>
      </w:r>
      <w:r w:rsidR="00752C7E" w:rsidRPr="005825D4">
        <w:rPr>
          <w:bCs/>
        </w:rPr>
        <w:t xml:space="preserve">I </w:t>
      </w:r>
      <w:r w:rsidR="00D26A30" w:rsidRPr="005825D4">
        <w:rPr>
          <w:bCs/>
        </w:rPr>
        <w:t>once again set out the proviso</w:t>
      </w:r>
      <w:r w:rsidR="00752C7E" w:rsidRPr="005825D4">
        <w:rPr>
          <w:bCs/>
        </w:rPr>
        <w:t>:</w:t>
      </w:r>
    </w:p>
    <w:p w:rsidR="00752C7E" w:rsidRPr="005825D4" w:rsidRDefault="00752C7E" w:rsidP="00A722C4">
      <w:pPr>
        <w:spacing w:line="360" w:lineRule="auto"/>
        <w:rPr>
          <w:bCs/>
          <w:sz w:val="22"/>
        </w:rPr>
      </w:pPr>
      <w:r w:rsidRPr="005825D4">
        <w:rPr>
          <w:bCs/>
          <w:sz w:val="22"/>
        </w:rPr>
        <w:t xml:space="preserve">‘Provided that </w:t>
      </w:r>
      <w:r w:rsidRPr="005825D4">
        <w:rPr>
          <w:bCs/>
          <w:i/>
          <w:sz w:val="22"/>
        </w:rPr>
        <w:t>bona fide</w:t>
      </w:r>
      <w:r w:rsidRPr="005825D4">
        <w:rPr>
          <w:bCs/>
          <w:sz w:val="22"/>
        </w:rPr>
        <w:t xml:space="preserve"> engagement in artistic creativity, academic and scientific inquiry, fair and accurate reporting in the public interest or publication of any information, advertisement or notice in accordance with section 16 of the Constitution, is not precluded by this section.’</w:t>
      </w:r>
    </w:p>
    <w:p w:rsidR="00503A6E" w:rsidRPr="005825D4" w:rsidRDefault="00361A6F" w:rsidP="00A722C4">
      <w:pPr>
        <w:spacing w:line="360" w:lineRule="auto"/>
        <w:rPr>
          <w:bCs/>
        </w:rPr>
      </w:pPr>
      <w:r w:rsidRPr="005825D4">
        <w:rPr>
          <w:bCs/>
        </w:rPr>
        <w:t xml:space="preserve">The proviso, by its nature and content is clearly an exclusionary enactment. It excludes </w:t>
      </w:r>
      <w:r w:rsidR="000E67F7" w:rsidRPr="005825D4">
        <w:rPr>
          <w:bCs/>
        </w:rPr>
        <w:t xml:space="preserve">from the limitation of freedom of expression </w:t>
      </w:r>
      <w:r w:rsidRPr="005825D4">
        <w:rPr>
          <w:bCs/>
        </w:rPr>
        <w:t>the engagement in or promotion of any of the stipulated activities.</w:t>
      </w:r>
      <w:r w:rsidR="00F464D6" w:rsidRPr="005825D4">
        <w:rPr>
          <w:rStyle w:val="FootnoteReference"/>
          <w:bCs/>
        </w:rPr>
        <w:footnoteReference w:id="56"/>
      </w:r>
      <w:r w:rsidRPr="005825D4">
        <w:rPr>
          <w:bCs/>
        </w:rPr>
        <w:t xml:space="preserve"> </w:t>
      </w:r>
    </w:p>
    <w:p w:rsidR="00361A6F" w:rsidRPr="005825D4" w:rsidRDefault="00361A6F" w:rsidP="00A722C4">
      <w:pPr>
        <w:spacing w:line="360" w:lineRule="auto"/>
        <w:rPr>
          <w:bCs/>
        </w:rPr>
      </w:pPr>
    </w:p>
    <w:p w:rsidR="00503A6E" w:rsidRPr="005825D4" w:rsidRDefault="001A5364" w:rsidP="00A722C4">
      <w:pPr>
        <w:spacing w:line="360" w:lineRule="auto"/>
        <w:rPr>
          <w:bCs/>
        </w:rPr>
      </w:pPr>
      <w:r w:rsidRPr="005825D4">
        <w:rPr>
          <w:bCs/>
        </w:rPr>
        <w:t>[76</w:t>
      </w:r>
      <w:r w:rsidR="00503A6E" w:rsidRPr="005825D4">
        <w:rPr>
          <w:bCs/>
        </w:rPr>
        <w:t>]</w:t>
      </w:r>
      <w:r w:rsidR="00503A6E" w:rsidRPr="005825D4">
        <w:rPr>
          <w:bCs/>
        </w:rPr>
        <w:tab/>
        <w:t xml:space="preserve">It will be recalled that </w:t>
      </w:r>
      <w:r w:rsidR="00361A6F" w:rsidRPr="005825D4">
        <w:rPr>
          <w:bCs/>
        </w:rPr>
        <w:t xml:space="preserve">Moshidi J held that it was plain that Mr Qwelane did not publish the offending article in order to engage in or promote any of the activities envisaged in the proviso to s 12 of PEPUDA. It is fair to say that this conclusion cannot be faulted. Mr Qwelane gave vent to his bigotry, was strident, provocative and unapologetic about it. The article had nothing to do with the proviso. </w:t>
      </w:r>
      <w:r w:rsidR="00F464D6" w:rsidRPr="005825D4">
        <w:rPr>
          <w:bCs/>
        </w:rPr>
        <w:t xml:space="preserve">That having been said, it must be noted that Albertyn </w:t>
      </w:r>
      <w:r w:rsidR="00F464D6" w:rsidRPr="005825D4">
        <w:rPr>
          <w:bCs/>
          <w:i/>
        </w:rPr>
        <w:t>et al</w:t>
      </w:r>
      <w:r w:rsidR="000E67F7" w:rsidRPr="005825D4">
        <w:rPr>
          <w:bCs/>
        </w:rPr>
        <w:t xml:space="preserve"> are</w:t>
      </w:r>
      <w:r w:rsidR="00F464D6" w:rsidRPr="005825D4">
        <w:rPr>
          <w:bCs/>
        </w:rPr>
        <w:t xml:space="preserve"> also correct in stating that s 12 is difficult to interpret. That is especially so with the concluding part of the proviso, namely, publication of any information, advertisement or notice </w:t>
      </w:r>
      <w:r w:rsidR="00F464D6" w:rsidRPr="005825D4">
        <w:rPr>
          <w:bCs/>
          <w:i/>
        </w:rPr>
        <w:t>in accordance</w:t>
      </w:r>
      <w:r w:rsidR="00F464D6" w:rsidRPr="005825D4">
        <w:rPr>
          <w:bCs/>
        </w:rPr>
        <w:t xml:space="preserve"> with s 16 of the Constitution. </w:t>
      </w:r>
      <w:r w:rsidR="000E67F7" w:rsidRPr="005825D4">
        <w:rPr>
          <w:bCs/>
        </w:rPr>
        <w:t xml:space="preserve">It is difficult to discern what that means. </w:t>
      </w:r>
      <w:r w:rsidR="00F464D6" w:rsidRPr="005825D4">
        <w:rPr>
          <w:bCs/>
        </w:rPr>
        <w:t xml:space="preserve">For present purposes it is not necessary to explore this aspect any further. </w:t>
      </w:r>
    </w:p>
    <w:p w:rsidR="005E73EE" w:rsidRPr="005825D4" w:rsidRDefault="005E73EE" w:rsidP="00A722C4">
      <w:pPr>
        <w:spacing w:line="360" w:lineRule="auto"/>
        <w:rPr>
          <w:bCs/>
        </w:rPr>
      </w:pPr>
    </w:p>
    <w:p w:rsidR="005E73EE" w:rsidRPr="005825D4" w:rsidRDefault="001A5364" w:rsidP="00A722C4">
      <w:pPr>
        <w:spacing w:line="360" w:lineRule="auto"/>
        <w:rPr>
          <w:bCs/>
        </w:rPr>
      </w:pPr>
      <w:r w:rsidRPr="005825D4">
        <w:rPr>
          <w:bCs/>
        </w:rPr>
        <w:t>[77</w:t>
      </w:r>
      <w:r w:rsidR="005E73EE" w:rsidRPr="005825D4">
        <w:rPr>
          <w:bCs/>
        </w:rPr>
        <w:t>]</w:t>
      </w:r>
      <w:r w:rsidR="005E73EE" w:rsidRPr="005825D4">
        <w:rPr>
          <w:bCs/>
        </w:rPr>
        <w:tab/>
        <w:t>It is clear from the preceding paragraphs that s 10</w:t>
      </w:r>
      <w:r w:rsidR="00016AF6" w:rsidRPr="005825D4">
        <w:rPr>
          <w:bCs/>
        </w:rPr>
        <w:t>(1)</w:t>
      </w:r>
      <w:r w:rsidR="005E73EE" w:rsidRPr="005825D4">
        <w:rPr>
          <w:bCs/>
        </w:rPr>
        <w:t xml:space="preserve"> of PEPUDA cannot on any reasonable interpretation be </w:t>
      </w:r>
      <w:r w:rsidR="00016AF6" w:rsidRPr="005825D4">
        <w:rPr>
          <w:bCs/>
        </w:rPr>
        <w:t>equated</w:t>
      </w:r>
      <w:r w:rsidR="005E73EE" w:rsidRPr="005825D4">
        <w:rPr>
          <w:bCs/>
        </w:rPr>
        <w:t xml:space="preserve"> with the provisions of s 16(2) of the Constitution. </w:t>
      </w:r>
      <w:r w:rsidR="00016AF6" w:rsidRPr="005825D4">
        <w:rPr>
          <w:bCs/>
        </w:rPr>
        <w:t>It extends far beyond the limitations on freedom of expression provided for in the Consti</w:t>
      </w:r>
      <w:r w:rsidR="0095718E" w:rsidRPr="005825D4">
        <w:rPr>
          <w:bCs/>
        </w:rPr>
        <w:t>tution and in many respects is unclear.</w:t>
      </w:r>
      <w:r w:rsidR="00CB49A0" w:rsidRPr="005825D4">
        <w:rPr>
          <w:bCs/>
        </w:rPr>
        <w:t xml:space="preserve"> </w:t>
      </w:r>
    </w:p>
    <w:p w:rsidR="001074AB" w:rsidRPr="005825D4" w:rsidRDefault="001074AB" w:rsidP="00A722C4">
      <w:pPr>
        <w:spacing w:line="360" w:lineRule="auto"/>
        <w:rPr>
          <w:bCs/>
        </w:rPr>
      </w:pPr>
    </w:p>
    <w:p w:rsidR="00636743" w:rsidRPr="005825D4" w:rsidRDefault="00636743" w:rsidP="00A722C4">
      <w:pPr>
        <w:spacing w:line="360" w:lineRule="auto"/>
        <w:rPr>
          <w:b/>
          <w:bCs/>
        </w:rPr>
      </w:pPr>
      <w:r w:rsidRPr="005825D4">
        <w:rPr>
          <w:b/>
          <w:bCs/>
        </w:rPr>
        <w:t>Justification</w:t>
      </w:r>
    </w:p>
    <w:p w:rsidR="00877417" w:rsidRPr="005825D4" w:rsidRDefault="003006A0" w:rsidP="00A722C4">
      <w:pPr>
        <w:spacing w:line="360" w:lineRule="auto"/>
        <w:rPr>
          <w:bCs/>
        </w:rPr>
      </w:pPr>
      <w:r w:rsidRPr="005825D4">
        <w:rPr>
          <w:bCs/>
        </w:rPr>
        <w:lastRenderedPageBreak/>
        <w:t>[</w:t>
      </w:r>
      <w:r w:rsidR="001A5364" w:rsidRPr="005825D4">
        <w:rPr>
          <w:bCs/>
        </w:rPr>
        <w:t>78</w:t>
      </w:r>
      <w:r w:rsidR="006F19FF" w:rsidRPr="005825D4">
        <w:rPr>
          <w:bCs/>
        </w:rPr>
        <w:t>]</w:t>
      </w:r>
      <w:r w:rsidR="006F19FF" w:rsidRPr="005825D4">
        <w:rPr>
          <w:bCs/>
        </w:rPr>
        <w:tab/>
        <w:t>As shown above, t</w:t>
      </w:r>
      <w:r w:rsidR="00562317" w:rsidRPr="005825D4">
        <w:rPr>
          <w:bCs/>
        </w:rPr>
        <w:t xml:space="preserve">he affidavit opposing the application by Mr Qwelane, to have the impugned provisions declared unconstitutional, </w:t>
      </w:r>
      <w:r w:rsidR="00F464D6" w:rsidRPr="005825D4">
        <w:rPr>
          <w:bCs/>
        </w:rPr>
        <w:t xml:space="preserve">provided </w:t>
      </w:r>
      <w:r w:rsidR="00562317" w:rsidRPr="005825D4">
        <w:rPr>
          <w:bCs/>
        </w:rPr>
        <w:t>virtually no</w:t>
      </w:r>
      <w:r w:rsidR="00261F78" w:rsidRPr="005825D4">
        <w:rPr>
          <w:bCs/>
        </w:rPr>
        <w:t xml:space="preserve"> justification </w:t>
      </w:r>
      <w:r w:rsidR="00562317" w:rsidRPr="005825D4">
        <w:rPr>
          <w:bCs/>
        </w:rPr>
        <w:t>by the Minister for the present form of s 10</w:t>
      </w:r>
      <w:r w:rsidR="00EE0054" w:rsidRPr="005825D4">
        <w:rPr>
          <w:bCs/>
        </w:rPr>
        <w:t>(1)</w:t>
      </w:r>
      <w:r w:rsidR="00562317" w:rsidRPr="005825D4">
        <w:rPr>
          <w:bCs/>
        </w:rPr>
        <w:t xml:space="preserve"> of PEPUDA and the associated provisions. I</w:t>
      </w:r>
      <w:r w:rsidR="00261F78" w:rsidRPr="005825D4">
        <w:rPr>
          <w:bCs/>
        </w:rPr>
        <w:t>t was submitted on behalf of the Minister that what has to be borne in mind</w:t>
      </w:r>
      <w:r w:rsidR="00E6565E" w:rsidRPr="005825D4">
        <w:rPr>
          <w:bCs/>
        </w:rPr>
        <w:t>,</w:t>
      </w:r>
      <w:r w:rsidR="00261F78" w:rsidRPr="005825D4">
        <w:rPr>
          <w:bCs/>
        </w:rPr>
        <w:t xml:space="preserve"> in considering whether there was indeed justification in terms of s 36 of the Constitution, </w:t>
      </w:r>
      <w:r w:rsidR="00E6565E" w:rsidRPr="005825D4">
        <w:rPr>
          <w:bCs/>
        </w:rPr>
        <w:t>are</w:t>
      </w:r>
      <w:r w:rsidR="00261F78" w:rsidRPr="005825D4">
        <w:rPr>
          <w:bCs/>
        </w:rPr>
        <w:t xml:space="preserve"> the </w:t>
      </w:r>
      <w:r w:rsidR="00492A18" w:rsidRPr="005825D4">
        <w:rPr>
          <w:bCs/>
        </w:rPr>
        <w:t xml:space="preserve">repeated </w:t>
      </w:r>
      <w:r w:rsidR="00261F78" w:rsidRPr="005825D4">
        <w:rPr>
          <w:bCs/>
        </w:rPr>
        <w:t>violation</w:t>
      </w:r>
      <w:r w:rsidR="00E6565E" w:rsidRPr="005825D4">
        <w:rPr>
          <w:bCs/>
        </w:rPr>
        <w:t>s</w:t>
      </w:r>
      <w:r w:rsidR="00261F78" w:rsidRPr="005825D4">
        <w:rPr>
          <w:bCs/>
        </w:rPr>
        <w:t xml:space="preserve"> of the rights of members of the LGBTI community and the repeated efforts to marginalise and dehumanise the community. </w:t>
      </w:r>
      <w:r w:rsidR="006F19FF" w:rsidRPr="005825D4">
        <w:rPr>
          <w:bCs/>
        </w:rPr>
        <w:t>The</w:t>
      </w:r>
      <w:r w:rsidR="00562317" w:rsidRPr="005825D4">
        <w:rPr>
          <w:bCs/>
        </w:rPr>
        <w:t xml:space="preserve"> provisions of s 10</w:t>
      </w:r>
      <w:r w:rsidR="00EE0054" w:rsidRPr="005825D4">
        <w:rPr>
          <w:bCs/>
        </w:rPr>
        <w:t>(1)</w:t>
      </w:r>
      <w:r w:rsidR="00562317" w:rsidRPr="005825D4">
        <w:rPr>
          <w:bCs/>
        </w:rPr>
        <w:t xml:space="preserve"> of PEPUDA are opaque and as best as can be discerned, travel far beyond the reach of the prohibition in s 16 of the Constitution</w:t>
      </w:r>
      <w:r w:rsidR="000E67F7" w:rsidRPr="005825D4">
        <w:rPr>
          <w:bCs/>
        </w:rPr>
        <w:t xml:space="preserve"> and cannot be construed in the manner favoured by the HRC and the Society</w:t>
      </w:r>
      <w:r w:rsidR="00562317" w:rsidRPr="005825D4">
        <w:rPr>
          <w:bCs/>
        </w:rPr>
        <w:t xml:space="preserve">, </w:t>
      </w:r>
      <w:r w:rsidR="00E600D2" w:rsidRPr="005825D4">
        <w:rPr>
          <w:bCs/>
        </w:rPr>
        <w:t xml:space="preserve">namely, that it does approximate the provisions of s 16 </w:t>
      </w:r>
      <w:r w:rsidR="00D26A30" w:rsidRPr="005825D4">
        <w:rPr>
          <w:bCs/>
        </w:rPr>
        <w:t>or</w:t>
      </w:r>
      <w:r w:rsidR="00E600D2" w:rsidRPr="005825D4">
        <w:rPr>
          <w:bCs/>
        </w:rPr>
        <w:t xml:space="preserve"> that it is narrowed </w:t>
      </w:r>
      <w:r w:rsidR="00CB49A0" w:rsidRPr="005825D4">
        <w:rPr>
          <w:bCs/>
        </w:rPr>
        <w:t xml:space="preserve">by </w:t>
      </w:r>
      <w:r w:rsidR="00E600D2" w:rsidRPr="005825D4">
        <w:rPr>
          <w:bCs/>
        </w:rPr>
        <w:t>application of the proviso</w:t>
      </w:r>
      <w:r w:rsidR="00CB49A0" w:rsidRPr="005825D4">
        <w:rPr>
          <w:bCs/>
        </w:rPr>
        <w:t xml:space="preserve"> in s 12</w:t>
      </w:r>
      <w:r w:rsidR="00E600D2" w:rsidRPr="005825D4">
        <w:rPr>
          <w:bCs/>
        </w:rPr>
        <w:t xml:space="preserve">. </w:t>
      </w:r>
      <w:r w:rsidR="0095641A" w:rsidRPr="005825D4">
        <w:rPr>
          <w:bCs/>
        </w:rPr>
        <w:t>I</w:t>
      </w:r>
      <w:r w:rsidR="00562317" w:rsidRPr="005825D4">
        <w:rPr>
          <w:bCs/>
        </w:rPr>
        <w:t xml:space="preserve"> intend to consider whether, on an examination of compar</w:t>
      </w:r>
      <w:r w:rsidR="00845B7E" w:rsidRPr="005825D4">
        <w:rPr>
          <w:bCs/>
        </w:rPr>
        <w:t xml:space="preserve">able constitutional regimes, </w:t>
      </w:r>
      <w:r w:rsidR="00562317" w:rsidRPr="005825D4">
        <w:rPr>
          <w:bCs/>
        </w:rPr>
        <w:t xml:space="preserve">limitations </w:t>
      </w:r>
      <w:r w:rsidR="005E1F47" w:rsidRPr="005825D4">
        <w:rPr>
          <w:bCs/>
        </w:rPr>
        <w:t xml:space="preserve">that </w:t>
      </w:r>
      <w:r w:rsidR="00EE0054" w:rsidRPr="005825D4">
        <w:rPr>
          <w:bCs/>
        </w:rPr>
        <w:t>are akin to or come</w:t>
      </w:r>
      <w:r w:rsidR="005E1F47" w:rsidRPr="005825D4">
        <w:rPr>
          <w:bCs/>
        </w:rPr>
        <w:t xml:space="preserve"> close to</w:t>
      </w:r>
      <w:r w:rsidR="00562317" w:rsidRPr="005825D4">
        <w:rPr>
          <w:bCs/>
        </w:rPr>
        <w:t xml:space="preserve"> the provisions of s 10 o</w:t>
      </w:r>
      <w:r w:rsidR="00E600D2" w:rsidRPr="005825D4">
        <w:rPr>
          <w:bCs/>
        </w:rPr>
        <w:t xml:space="preserve">f PEPUDA can be found elsewhere. </w:t>
      </w:r>
    </w:p>
    <w:p w:rsidR="00502F10" w:rsidRPr="005825D4" w:rsidRDefault="00502F10" w:rsidP="00A722C4">
      <w:pPr>
        <w:spacing w:line="360" w:lineRule="auto"/>
        <w:rPr>
          <w:bCs/>
        </w:rPr>
      </w:pPr>
    </w:p>
    <w:p w:rsidR="00743923" w:rsidRPr="005825D4" w:rsidRDefault="001A5364" w:rsidP="00A722C4">
      <w:pPr>
        <w:spacing w:line="360" w:lineRule="auto"/>
        <w:rPr>
          <w:lang w:val="en-ZA"/>
        </w:rPr>
      </w:pPr>
      <w:r w:rsidRPr="005825D4">
        <w:rPr>
          <w:bCs/>
        </w:rPr>
        <w:t>[79</w:t>
      </w:r>
      <w:r w:rsidR="00571AD2" w:rsidRPr="005825D4">
        <w:rPr>
          <w:bCs/>
        </w:rPr>
        <w:t>]</w:t>
      </w:r>
      <w:r w:rsidR="00571AD2" w:rsidRPr="005825D4">
        <w:rPr>
          <w:bCs/>
        </w:rPr>
        <w:tab/>
      </w:r>
      <w:r w:rsidR="00F01A30" w:rsidRPr="005825D4">
        <w:rPr>
          <w:lang w:val="en-ZA"/>
        </w:rPr>
        <w:t>T J Webb ‘Verbal Poison – Criminalizing Hate Speech: A Comparative Analysis and a Proposal for the American System’,</w:t>
      </w:r>
      <w:r w:rsidR="00F27902" w:rsidRPr="005825D4">
        <w:rPr>
          <w:rStyle w:val="FootnoteReference"/>
          <w:lang w:val="en-ZA"/>
        </w:rPr>
        <w:footnoteReference w:id="57"/>
      </w:r>
      <w:r w:rsidR="00F01A30" w:rsidRPr="005825D4">
        <w:rPr>
          <w:lang w:val="en-ZA"/>
        </w:rPr>
        <w:t xml:space="preserve"> as stated earlier, is a useful guide to international instruments dealing with hate speech </w:t>
      </w:r>
      <w:r w:rsidR="00314B87" w:rsidRPr="005825D4">
        <w:rPr>
          <w:lang w:val="en-ZA"/>
        </w:rPr>
        <w:t>and to comparable</w:t>
      </w:r>
      <w:r w:rsidR="00F01A30" w:rsidRPr="005825D4">
        <w:rPr>
          <w:lang w:val="en-ZA"/>
        </w:rPr>
        <w:t xml:space="preserve"> foreign law. </w:t>
      </w:r>
      <w:r w:rsidR="00696926" w:rsidRPr="005825D4">
        <w:rPr>
          <w:lang w:val="en-ZA"/>
        </w:rPr>
        <w:t xml:space="preserve">At the outset, the author recognises that the regulation of hate speech poses a complex constitutional problem because it conflicts with freedom of expression. The author </w:t>
      </w:r>
      <w:r w:rsidR="00651557" w:rsidRPr="005825D4">
        <w:rPr>
          <w:lang w:val="en-ZA"/>
        </w:rPr>
        <w:t>wrote</w:t>
      </w:r>
      <w:r w:rsidR="00D26A30" w:rsidRPr="005825D4">
        <w:rPr>
          <w:lang w:val="en-ZA"/>
        </w:rPr>
        <w:t xml:space="preserve"> principally</w:t>
      </w:r>
      <w:r w:rsidR="00696926" w:rsidRPr="005825D4">
        <w:rPr>
          <w:lang w:val="en-ZA"/>
        </w:rPr>
        <w:t xml:space="preserve"> in relation to the Uni</w:t>
      </w:r>
      <w:r w:rsidR="00651557" w:rsidRPr="005825D4">
        <w:rPr>
          <w:lang w:val="en-ZA"/>
        </w:rPr>
        <w:t>ted States of America</w:t>
      </w:r>
      <w:r w:rsidR="00743923" w:rsidRPr="005825D4">
        <w:rPr>
          <w:lang w:val="en-ZA"/>
        </w:rPr>
        <w:t xml:space="preserve"> (the USA)</w:t>
      </w:r>
      <w:r w:rsidR="00651557" w:rsidRPr="005825D4">
        <w:rPr>
          <w:lang w:val="en-ZA"/>
        </w:rPr>
        <w:t>, and noted</w:t>
      </w:r>
      <w:r w:rsidR="00696926" w:rsidRPr="005825D4">
        <w:rPr>
          <w:lang w:val="en-ZA"/>
        </w:rPr>
        <w:t xml:space="preserve"> that the emphasis that </w:t>
      </w:r>
      <w:r w:rsidR="00BA4074" w:rsidRPr="005825D4">
        <w:rPr>
          <w:lang w:val="en-ZA"/>
        </w:rPr>
        <w:t>the</w:t>
      </w:r>
      <w:r w:rsidR="00696926" w:rsidRPr="005825D4">
        <w:rPr>
          <w:lang w:val="en-ZA"/>
        </w:rPr>
        <w:t xml:space="preserve"> country places on free speech is unique.</w:t>
      </w:r>
      <w:r w:rsidR="00651557" w:rsidRPr="005825D4">
        <w:rPr>
          <w:lang w:val="en-ZA"/>
        </w:rPr>
        <w:t xml:space="preserve"> The first amendment provides that congress shall make no law abridging the freedom of speech, or of the press, and recognises that free speech is the cornerstone of American society.</w:t>
      </w:r>
      <w:r w:rsidR="00743923" w:rsidRPr="005825D4">
        <w:rPr>
          <w:lang w:val="en-ZA"/>
        </w:rPr>
        <w:t xml:space="preserve"> That, notwithstanding, the constituti</w:t>
      </w:r>
      <w:r w:rsidR="00AF51D2" w:rsidRPr="005825D4">
        <w:rPr>
          <w:lang w:val="en-ZA"/>
        </w:rPr>
        <w:t xml:space="preserve">onal protection of free speech in the USA does </w:t>
      </w:r>
      <w:r w:rsidR="00743923" w:rsidRPr="005825D4">
        <w:rPr>
          <w:lang w:val="en-ZA"/>
        </w:rPr>
        <w:t xml:space="preserve">not encompass all forms of expression. Certain categories of speech may be regulated. Categories that are exempt from limitations on the government’s power to regulate speech, include fighting words, advocacy of crime, defamation, obscenity, matters of national security and commercial speech. </w:t>
      </w:r>
      <w:r w:rsidR="0085408E" w:rsidRPr="005825D4">
        <w:rPr>
          <w:lang w:val="en-ZA"/>
        </w:rPr>
        <w:t xml:space="preserve">In </w:t>
      </w:r>
      <w:r w:rsidR="0085408E" w:rsidRPr="005825D4">
        <w:rPr>
          <w:i/>
          <w:lang w:val="en-ZA"/>
        </w:rPr>
        <w:t>Beauharnais v Illinois</w:t>
      </w:r>
      <w:r w:rsidR="0085408E" w:rsidRPr="005825D4">
        <w:rPr>
          <w:lang w:val="en-ZA"/>
        </w:rPr>
        <w:t xml:space="preserve"> 343 U.S. 250 (1952), the U.S. Supreme Court upheld a man’s conviction for violating an Illinois statute</w:t>
      </w:r>
      <w:r w:rsidR="00636743" w:rsidRPr="005825D4">
        <w:rPr>
          <w:lang w:val="en-ZA"/>
        </w:rPr>
        <w:t>,</w:t>
      </w:r>
      <w:r w:rsidR="0085408E" w:rsidRPr="005825D4">
        <w:rPr>
          <w:lang w:val="en-ZA"/>
        </w:rPr>
        <w:t xml:space="preserve"> forbidding the publication of material that would expose ‘any race, color, creed or religion </w:t>
      </w:r>
      <w:r w:rsidR="0085408E" w:rsidRPr="005825D4">
        <w:rPr>
          <w:lang w:val="en-ZA"/>
        </w:rPr>
        <w:lastRenderedPageBreak/>
        <w:t>to contempt, derision, or obloquy or which is productive of breach of the peace or riots’. Additionally, such presentation must be ‘made in public places and by means calculated to have a powerful emotional impact on those to whom it was presented’.</w:t>
      </w:r>
    </w:p>
    <w:p w:rsidR="00F314A6" w:rsidRPr="005825D4" w:rsidRDefault="00F314A6" w:rsidP="00A722C4">
      <w:pPr>
        <w:spacing w:line="360" w:lineRule="auto"/>
        <w:rPr>
          <w:lang w:val="en-ZA"/>
        </w:rPr>
      </w:pPr>
    </w:p>
    <w:p w:rsidR="00D01387" w:rsidRPr="005825D4" w:rsidRDefault="001A5364" w:rsidP="00A722C4">
      <w:pPr>
        <w:spacing w:line="360" w:lineRule="auto"/>
        <w:rPr>
          <w:lang w:val="en-ZA"/>
        </w:rPr>
      </w:pPr>
      <w:r w:rsidRPr="005825D4">
        <w:rPr>
          <w:lang w:val="en-ZA"/>
        </w:rPr>
        <w:t>[80</w:t>
      </w:r>
      <w:r w:rsidR="00D01387" w:rsidRPr="005825D4">
        <w:rPr>
          <w:lang w:val="en-ZA"/>
        </w:rPr>
        <w:t>]</w:t>
      </w:r>
      <w:r w:rsidR="00D01387" w:rsidRPr="005825D4">
        <w:rPr>
          <w:lang w:val="en-ZA"/>
        </w:rPr>
        <w:tab/>
      </w:r>
      <w:r w:rsidR="00F4203F" w:rsidRPr="005825D4">
        <w:rPr>
          <w:lang w:val="en-ZA"/>
        </w:rPr>
        <w:t xml:space="preserve">In </w:t>
      </w:r>
      <w:r w:rsidR="00F4203F" w:rsidRPr="005825D4">
        <w:rPr>
          <w:i/>
          <w:lang w:val="en-ZA"/>
        </w:rPr>
        <w:t>Virginia v Black</w:t>
      </w:r>
      <w:r w:rsidR="00F4203F" w:rsidRPr="005825D4">
        <w:rPr>
          <w:lang w:val="en-ZA"/>
        </w:rPr>
        <w:t xml:space="preserve"> 538 U.S. 343, the court heard a consolidated case of two individuals convicted under a Virginia statute making it ‘unlawful for any person . . . with the intent of intimidating any person or group of persons, to burn or cause to be burned, a cross on the property of another, a highway or other public place’. The court held that the government may possibly regulate such actions</w:t>
      </w:r>
      <w:r w:rsidR="008238B4" w:rsidRPr="005825D4">
        <w:rPr>
          <w:lang w:val="en-ZA"/>
        </w:rPr>
        <w:t>,</w:t>
      </w:r>
      <w:r w:rsidR="00F4203F" w:rsidRPr="005825D4">
        <w:rPr>
          <w:lang w:val="en-ZA"/>
        </w:rPr>
        <w:t xml:space="preserve"> because of the harm resulting from intimidation. The court’s decision emphasized the importance of establishing a </w:t>
      </w:r>
      <w:r w:rsidR="00F4203F" w:rsidRPr="005825D4">
        <w:rPr>
          <w:i/>
          <w:lang w:val="en-ZA"/>
        </w:rPr>
        <w:t>mens rea</w:t>
      </w:r>
      <w:r w:rsidR="00F4203F" w:rsidRPr="005825D4">
        <w:rPr>
          <w:lang w:val="en-ZA"/>
        </w:rPr>
        <w:t xml:space="preserve"> connection. Specifically, it must be proven that the actor had the actual intent to intimidate. </w:t>
      </w:r>
    </w:p>
    <w:p w:rsidR="00D01387" w:rsidRPr="005825D4" w:rsidRDefault="00D01387" w:rsidP="00A722C4">
      <w:pPr>
        <w:spacing w:line="360" w:lineRule="auto"/>
        <w:rPr>
          <w:lang w:val="en-ZA"/>
        </w:rPr>
      </w:pPr>
    </w:p>
    <w:p w:rsidR="00F314A6" w:rsidRPr="005825D4" w:rsidRDefault="001A5364" w:rsidP="00A722C4">
      <w:pPr>
        <w:spacing w:line="360" w:lineRule="auto"/>
        <w:rPr>
          <w:lang w:val="en-ZA"/>
        </w:rPr>
      </w:pPr>
      <w:r w:rsidRPr="005825D4">
        <w:rPr>
          <w:lang w:val="en-ZA"/>
        </w:rPr>
        <w:t>[81</w:t>
      </w:r>
      <w:r w:rsidR="00D01387" w:rsidRPr="005825D4">
        <w:rPr>
          <w:lang w:val="en-ZA"/>
        </w:rPr>
        <w:t>]</w:t>
      </w:r>
      <w:r w:rsidR="00D01387" w:rsidRPr="005825D4">
        <w:rPr>
          <w:lang w:val="en-ZA"/>
        </w:rPr>
        <w:tab/>
      </w:r>
      <w:r w:rsidR="00C629BF" w:rsidRPr="005825D4">
        <w:rPr>
          <w:lang w:val="en-ZA"/>
        </w:rPr>
        <w:t xml:space="preserve">The cases referred to </w:t>
      </w:r>
      <w:r w:rsidR="006B0641" w:rsidRPr="005825D4">
        <w:rPr>
          <w:lang w:val="en-ZA"/>
        </w:rPr>
        <w:t>in the preceding two paragraphs</w:t>
      </w:r>
      <w:r w:rsidR="00C629BF" w:rsidRPr="005825D4">
        <w:rPr>
          <w:lang w:val="en-ZA"/>
        </w:rPr>
        <w:t xml:space="preserve"> involve regulation</w:t>
      </w:r>
      <w:r w:rsidR="006B0641" w:rsidRPr="005825D4">
        <w:rPr>
          <w:lang w:val="en-ZA"/>
        </w:rPr>
        <w:t xml:space="preserve"> of hate speech</w:t>
      </w:r>
      <w:r w:rsidR="00C629BF" w:rsidRPr="005825D4">
        <w:rPr>
          <w:lang w:val="en-ZA"/>
        </w:rPr>
        <w:t xml:space="preserve"> by way of </w:t>
      </w:r>
      <w:r w:rsidR="00D21222" w:rsidRPr="005825D4">
        <w:rPr>
          <w:lang w:val="en-ZA"/>
        </w:rPr>
        <w:t xml:space="preserve">establishing a </w:t>
      </w:r>
      <w:r w:rsidR="00C629BF" w:rsidRPr="005825D4">
        <w:rPr>
          <w:lang w:val="en-ZA"/>
        </w:rPr>
        <w:t xml:space="preserve">criminal </w:t>
      </w:r>
      <w:r w:rsidR="00D21222" w:rsidRPr="005825D4">
        <w:rPr>
          <w:lang w:val="en-ZA"/>
        </w:rPr>
        <w:t>offence and providing a sanction</w:t>
      </w:r>
      <w:r w:rsidR="00C629BF" w:rsidRPr="005825D4">
        <w:rPr>
          <w:lang w:val="en-ZA"/>
        </w:rPr>
        <w:t>.</w:t>
      </w:r>
      <w:r w:rsidR="006540B6" w:rsidRPr="005825D4">
        <w:rPr>
          <w:lang w:val="en-ZA"/>
        </w:rPr>
        <w:t xml:space="preserve"> Establishing </w:t>
      </w:r>
      <w:r w:rsidR="006540B6" w:rsidRPr="005825D4">
        <w:rPr>
          <w:i/>
          <w:lang w:val="en-ZA"/>
        </w:rPr>
        <w:t>mens rea</w:t>
      </w:r>
      <w:r w:rsidR="006540B6" w:rsidRPr="005825D4">
        <w:rPr>
          <w:lang w:val="en-ZA"/>
        </w:rPr>
        <w:t xml:space="preserve"> must be seen in that context and it is far removed from the reasonably construed inten</w:t>
      </w:r>
      <w:r w:rsidR="008238B4" w:rsidRPr="005825D4">
        <w:rPr>
          <w:lang w:val="en-ZA"/>
        </w:rPr>
        <w:t>tion of s 10 of PEPUDA</w:t>
      </w:r>
      <w:r w:rsidR="0007435C" w:rsidRPr="005825D4">
        <w:rPr>
          <w:lang w:val="en-ZA"/>
        </w:rPr>
        <w:t xml:space="preserve">. </w:t>
      </w:r>
      <w:r w:rsidR="006540B6" w:rsidRPr="005825D4">
        <w:rPr>
          <w:lang w:val="en-ZA"/>
        </w:rPr>
        <w:t xml:space="preserve">By opting for regulation of hate speech by way of PEPUDA, our legislature </w:t>
      </w:r>
      <w:r w:rsidR="00307EEE" w:rsidRPr="005825D4">
        <w:rPr>
          <w:lang w:val="en-ZA"/>
        </w:rPr>
        <w:t>has up to now</w:t>
      </w:r>
      <w:r w:rsidR="006540B6" w:rsidRPr="005825D4">
        <w:rPr>
          <w:lang w:val="en-ZA"/>
        </w:rPr>
        <w:t xml:space="preserve"> not follow</w:t>
      </w:r>
      <w:r w:rsidR="00307EEE" w:rsidRPr="005825D4">
        <w:rPr>
          <w:lang w:val="en-ZA"/>
        </w:rPr>
        <w:t>ed</w:t>
      </w:r>
      <w:r w:rsidR="006540B6" w:rsidRPr="005825D4">
        <w:rPr>
          <w:lang w:val="en-ZA"/>
        </w:rPr>
        <w:t xml:space="preserve"> the United States example of regulation</w:t>
      </w:r>
      <w:r w:rsidR="008238B4" w:rsidRPr="005825D4">
        <w:rPr>
          <w:lang w:val="en-ZA"/>
        </w:rPr>
        <w:t xml:space="preserve"> of hate expression</w:t>
      </w:r>
      <w:r w:rsidR="006540B6" w:rsidRPr="005825D4">
        <w:rPr>
          <w:lang w:val="en-ZA"/>
        </w:rPr>
        <w:t xml:space="preserve"> by way of</w:t>
      </w:r>
      <w:r w:rsidR="008238B4" w:rsidRPr="005825D4">
        <w:rPr>
          <w:lang w:val="en-ZA"/>
        </w:rPr>
        <w:t xml:space="preserve"> specific</w:t>
      </w:r>
      <w:r w:rsidR="006540B6" w:rsidRPr="005825D4">
        <w:rPr>
          <w:lang w:val="en-ZA"/>
        </w:rPr>
        <w:t xml:space="preserve"> criminal </w:t>
      </w:r>
      <w:r w:rsidR="00D21222" w:rsidRPr="005825D4">
        <w:rPr>
          <w:lang w:val="en-ZA"/>
        </w:rPr>
        <w:t>offences with concomitant sanction</w:t>
      </w:r>
      <w:r w:rsidR="006540B6" w:rsidRPr="005825D4">
        <w:rPr>
          <w:lang w:val="en-ZA"/>
        </w:rPr>
        <w:t>. This might well be because incitement to cause</w:t>
      </w:r>
      <w:r w:rsidR="008238B4" w:rsidRPr="005825D4">
        <w:rPr>
          <w:lang w:val="en-ZA"/>
        </w:rPr>
        <w:t xml:space="preserve"> physical or significant psychological</w:t>
      </w:r>
      <w:r w:rsidR="00EE0054" w:rsidRPr="005825D4">
        <w:rPr>
          <w:lang w:val="en-ZA"/>
        </w:rPr>
        <w:t xml:space="preserve"> harm could</w:t>
      </w:r>
      <w:r w:rsidR="006540B6" w:rsidRPr="005825D4">
        <w:rPr>
          <w:lang w:val="en-ZA"/>
        </w:rPr>
        <w:t xml:space="preserve"> be met</w:t>
      </w:r>
      <w:r w:rsidR="008238B4" w:rsidRPr="005825D4">
        <w:rPr>
          <w:lang w:val="en-ZA"/>
        </w:rPr>
        <w:t xml:space="preserve"> in South Africa</w:t>
      </w:r>
      <w:r w:rsidR="006540B6" w:rsidRPr="005825D4">
        <w:rPr>
          <w:lang w:val="en-ZA"/>
        </w:rPr>
        <w:t xml:space="preserve"> by existing criminal law</w:t>
      </w:r>
      <w:r w:rsidR="00D01387" w:rsidRPr="005825D4">
        <w:rPr>
          <w:lang w:val="en-ZA"/>
        </w:rPr>
        <w:t xml:space="preserve"> such as the Intimidation Act 72 of 1982</w:t>
      </w:r>
      <w:r w:rsidR="006540B6" w:rsidRPr="005825D4">
        <w:rPr>
          <w:lang w:val="en-ZA"/>
        </w:rPr>
        <w:t>.</w:t>
      </w:r>
      <w:r w:rsidR="00D01387" w:rsidRPr="005825D4">
        <w:rPr>
          <w:rStyle w:val="FootnoteReference"/>
          <w:lang w:val="en-ZA"/>
        </w:rPr>
        <w:footnoteReference w:id="58"/>
      </w:r>
      <w:r w:rsidR="006540B6" w:rsidRPr="005825D4">
        <w:rPr>
          <w:lang w:val="en-ZA"/>
        </w:rPr>
        <w:t xml:space="preserve"> </w:t>
      </w:r>
      <w:r w:rsidR="00307EEE" w:rsidRPr="005825D4">
        <w:rPr>
          <w:lang w:val="en-ZA"/>
        </w:rPr>
        <w:t xml:space="preserve">There is currently for consideration before Parliament the Prevention and Combating of Hate Crimes and Hate Speech Bill, which no doubt Parliament will take time to ensure is tailored to be within constitutionally permissible parameters. </w:t>
      </w:r>
      <w:r w:rsidR="00D03D95" w:rsidRPr="005825D4">
        <w:rPr>
          <w:lang w:val="en-ZA"/>
        </w:rPr>
        <w:t xml:space="preserve">The </w:t>
      </w:r>
      <w:r w:rsidR="006B0641" w:rsidRPr="005825D4">
        <w:rPr>
          <w:lang w:val="en-ZA"/>
        </w:rPr>
        <w:t>enactment</w:t>
      </w:r>
      <w:r w:rsidR="00D03D95" w:rsidRPr="005825D4">
        <w:rPr>
          <w:lang w:val="en-ZA"/>
        </w:rPr>
        <w:t xml:space="preserve"> of PEPUDA </w:t>
      </w:r>
      <w:r w:rsidR="006B0641" w:rsidRPr="005825D4">
        <w:rPr>
          <w:lang w:val="en-ZA"/>
        </w:rPr>
        <w:t>appears to have been</w:t>
      </w:r>
      <w:r w:rsidR="00D03D95" w:rsidRPr="005825D4">
        <w:rPr>
          <w:lang w:val="en-ZA"/>
        </w:rPr>
        <w:t xml:space="preserve"> motivated more by the drive to promote equality than to prevent hate speech. </w:t>
      </w:r>
      <w:r w:rsidR="008238B4" w:rsidRPr="005825D4">
        <w:rPr>
          <w:lang w:val="en-ZA"/>
        </w:rPr>
        <w:t>The hate speech provision appears to be tagged onto PEPUDA, which is concerned principally with promoting equality and preventing discrimination with the emphasis on remedial action</w:t>
      </w:r>
      <w:r w:rsidR="006B0641" w:rsidRPr="005825D4">
        <w:rPr>
          <w:lang w:val="en-ZA"/>
        </w:rPr>
        <w:t>.</w:t>
      </w:r>
    </w:p>
    <w:p w:rsidR="0082126A" w:rsidRPr="005825D4" w:rsidRDefault="0082126A" w:rsidP="00A722C4">
      <w:pPr>
        <w:spacing w:line="360" w:lineRule="auto"/>
        <w:rPr>
          <w:lang w:val="en-ZA"/>
        </w:rPr>
      </w:pPr>
    </w:p>
    <w:p w:rsidR="0082126A" w:rsidRPr="005825D4" w:rsidRDefault="001A5364" w:rsidP="00A722C4">
      <w:pPr>
        <w:spacing w:line="360" w:lineRule="auto"/>
        <w:rPr>
          <w:lang w:val="en-ZA"/>
        </w:rPr>
      </w:pPr>
      <w:r w:rsidRPr="005825D4">
        <w:rPr>
          <w:lang w:val="en-ZA"/>
        </w:rPr>
        <w:t>[82</w:t>
      </w:r>
      <w:r w:rsidR="0082126A" w:rsidRPr="005825D4">
        <w:rPr>
          <w:lang w:val="en-ZA"/>
        </w:rPr>
        <w:t>]</w:t>
      </w:r>
      <w:r w:rsidR="0082126A" w:rsidRPr="005825D4">
        <w:rPr>
          <w:lang w:val="en-ZA"/>
        </w:rPr>
        <w:tab/>
        <w:t xml:space="preserve">Webb points to Canada as a country that offers ‘the most balanced and developed examples of hate speech regulation’. Like most, if not all democratic systems, Canada </w:t>
      </w:r>
      <w:r w:rsidR="0082126A" w:rsidRPr="005825D4">
        <w:rPr>
          <w:lang w:val="en-ZA"/>
        </w:rPr>
        <w:lastRenderedPageBreak/>
        <w:t>accepts that freedom of expression is a critical feature of democracy, but takes the approach that freedom of expression is not absolute</w:t>
      </w:r>
      <w:r w:rsidR="00BC33FA" w:rsidRPr="005825D4">
        <w:rPr>
          <w:lang w:val="en-ZA"/>
        </w:rPr>
        <w:t>. Hate speech is criminalised</w:t>
      </w:r>
      <w:r w:rsidR="00921D0F" w:rsidRPr="005825D4">
        <w:rPr>
          <w:lang w:val="en-ZA"/>
        </w:rPr>
        <w:t xml:space="preserve"> and </w:t>
      </w:r>
      <w:r w:rsidR="006B0641" w:rsidRPr="005825D4">
        <w:rPr>
          <w:lang w:val="en-ZA"/>
        </w:rPr>
        <w:t>regulated</w:t>
      </w:r>
      <w:r w:rsidR="00921D0F" w:rsidRPr="005825D4">
        <w:rPr>
          <w:lang w:val="en-ZA"/>
        </w:rPr>
        <w:t xml:space="preserve"> within the criminal justice system</w:t>
      </w:r>
      <w:r w:rsidR="00BC33FA" w:rsidRPr="005825D4">
        <w:rPr>
          <w:lang w:val="en-ZA"/>
        </w:rPr>
        <w:t>. In Canada, unlike the USA, where the right to freedom of expression has a unique position</w:t>
      </w:r>
      <w:r w:rsidR="00E31C45" w:rsidRPr="005825D4">
        <w:rPr>
          <w:lang w:val="en-ZA"/>
        </w:rPr>
        <w:t xml:space="preserve">, greater emphasis is placed </w:t>
      </w:r>
      <w:r w:rsidR="00BC33FA" w:rsidRPr="005825D4">
        <w:rPr>
          <w:lang w:val="en-ZA"/>
        </w:rPr>
        <w:t xml:space="preserve">on the right to equality and the value of diversity and multiculturalism. </w:t>
      </w:r>
      <w:r w:rsidR="00921D0F" w:rsidRPr="005825D4">
        <w:rPr>
          <w:lang w:val="en-ZA"/>
        </w:rPr>
        <w:t xml:space="preserve">Hate speech is thus more rigorously regulated in Canada. </w:t>
      </w:r>
      <w:r w:rsidR="00BC33FA" w:rsidRPr="005825D4">
        <w:rPr>
          <w:lang w:val="en-ZA"/>
        </w:rPr>
        <w:t xml:space="preserve">In this regard see </w:t>
      </w:r>
      <w:r w:rsidR="00BC33FA" w:rsidRPr="005825D4">
        <w:rPr>
          <w:i/>
          <w:lang w:val="en-ZA"/>
        </w:rPr>
        <w:t>R v Keegstra</w:t>
      </w:r>
      <w:r w:rsidR="00BC33FA" w:rsidRPr="005825D4">
        <w:rPr>
          <w:lang w:val="en-ZA"/>
        </w:rPr>
        <w:t xml:space="preserve"> </w:t>
      </w:r>
      <w:r w:rsidR="00E30F5C" w:rsidRPr="005825D4">
        <w:rPr>
          <w:lang w:val="en-ZA"/>
        </w:rPr>
        <w:t xml:space="preserve">[1990] </w:t>
      </w:r>
      <w:r w:rsidR="00BC33FA" w:rsidRPr="005825D4">
        <w:rPr>
          <w:lang w:val="en-ZA"/>
        </w:rPr>
        <w:t>3</w:t>
      </w:r>
      <w:r w:rsidR="00E30F5C" w:rsidRPr="005825D4">
        <w:rPr>
          <w:lang w:val="en-ZA"/>
        </w:rPr>
        <w:t xml:space="preserve"> </w:t>
      </w:r>
      <w:r w:rsidR="00746EE1" w:rsidRPr="005825D4">
        <w:rPr>
          <w:lang w:val="en-ZA"/>
        </w:rPr>
        <w:t>R</w:t>
      </w:r>
      <w:r w:rsidR="00C6661D" w:rsidRPr="005825D4">
        <w:rPr>
          <w:lang w:val="en-ZA"/>
        </w:rPr>
        <w:t>.</w:t>
      </w:r>
      <w:r w:rsidR="00746EE1" w:rsidRPr="005825D4">
        <w:rPr>
          <w:lang w:val="en-ZA"/>
        </w:rPr>
        <w:t>C</w:t>
      </w:r>
      <w:r w:rsidR="00C6661D" w:rsidRPr="005825D4">
        <w:rPr>
          <w:lang w:val="en-ZA"/>
        </w:rPr>
        <w:t>.</w:t>
      </w:r>
      <w:r w:rsidR="00746EE1" w:rsidRPr="005825D4">
        <w:rPr>
          <w:lang w:val="en-ZA"/>
        </w:rPr>
        <w:t>S</w:t>
      </w:r>
      <w:r w:rsidR="00BC33FA" w:rsidRPr="005825D4">
        <w:rPr>
          <w:lang w:val="en-ZA"/>
        </w:rPr>
        <w:t xml:space="preserve"> at </w:t>
      </w:r>
      <w:r w:rsidR="00C6661D" w:rsidRPr="005825D4">
        <w:rPr>
          <w:lang w:val="en-ZA"/>
        </w:rPr>
        <w:t>697</w:t>
      </w:r>
      <w:r w:rsidR="00BC33FA" w:rsidRPr="005825D4">
        <w:rPr>
          <w:lang w:val="en-ZA"/>
        </w:rPr>
        <w:t xml:space="preserve">. However, the following is also stated at </w:t>
      </w:r>
      <w:r w:rsidR="00746EE1" w:rsidRPr="005825D4">
        <w:rPr>
          <w:lang w:val="en-ZA"/>
        </w:rPr>
        <w:t>771</w:t>
      </w:r>
      <w:r w:rsidR="00BC33FA" w:rsidRPr="005825D4">
        <w:rPr>
          <w:lang w:val="en-ZA"/>
        </w:rPr>
        <w:t>:</w:t>
      </w:r>
    </w:p>
    <w:p w:rsidR="00BC33FA" w:rsidRPr="005825D4" w:rsidRDefault="00BC33FA" w:rsidP="00A722C4">
      <w:pPr>
        <w:spacing w:line="360" w:lineRule="auto"/>
        <w:rPr>
          <w:sz w:val="22"/>
          <w:lang w:val="en-ZA"/>
        </w:rPr>
      </w:pPr>
      <w:r w:rsidRPr="005825D4">
        <w:rPr>
          <w:sz w:val="22"/>
          <w:lang w:val="en-ZA"/>
        </w:rPr>
        <w:t xml:space="preserve">‘The criminal nature of the impugned provision, involving the associated risks of prejudice through prosecution, conviction and the imposition of up to two years’ imprisonment, indicates that the means embodied in hate propaganda legislation </w:t>
      </w:r>
      <w:r w:rsidRPr="005825D4">
        <w:rPr>
          <w:i/>
          <w:sz w:val="22"/>
          <w:lang w:val="en-ZA"/>
        </w:rPr>
        <w:t>should be carefully tailored so as to minimize impairment of the freedom of expression</w:t>
      </w:r>
      <w:r w:rsidRPr="005825D4">
        <w:rPr>
          <w:sz w:val="22"/>
          <w:lang w:val="en-ZA"/>
        </w:rPr>
        <w:t>. It therefore must be shown that s</w:t>
      </w:r>
      <w:r w:rsidR="007E19BA" w:rsidRPr="005825D4">
        <w:rPr>
          <w:sz w:val="22"/>
          <w:lang w:val="en-ZA"/>
        </w:rPr>
        <w:t>.</w:t>
      </w:r>
      <w:r w:rsidRPr="005825D4">
        <w:rPr>
          <w:sz w:val="22"/>
          <w:lang w:val="en-ZA"/>
        </w:rPr>
        <w:t xml:space="preserve"> 319(2) is a measured and appropriate response to the phenomenon of hate propaganda, and that it does not overly circumscribe the s</w:t>
      </w:r>
      <w:r w:rsidR="007E19BA" w:rsidRPr="005825D4">
        <w:rPr>
          <w:sz w:val="22"/>
          <w:lang w:val="en-ZA"/>
        </w:rPr>
        <w:t>.</w:t>
      </w:r>
      <w:r w:rsidRPr="005825D4">
        <w:rPr>
          <w:sz w:val="22"/>
          <w:lang w:val="en-ZA"/>
        </w:rPr>
        <w:t xml:space="preserve"> 2</w:t>
      </w:r>
      <w:r w:rsidRPr="005825D4">
        <w:rPr>
          <w:i/>
          <w:sz w:val="22"/>
          <w:lang w:val="en-ZA"/>
        </w:rPr>
        <w:t>(b)</w:t>
      </w:r>
      <w:r w:rsidRPr="005825D4">
        <w:rPr>
          <w:sz w:val="22"/>
          <w:lang w:val="en-ZA"/>
        </w:rPr>
        <w:t xml:space="preserve"> guarantee.’</w:t>
      </w:r>
      <w:r w:rsidR="008238B4" w:rsidRPr="005825D4">
        <w:rPr>
          <w:sz w:val="22"/>
          <w:lang w:val="en-ZA"/>
        </w:rPr>
        <w:t xml:space="preserve"> (My emphasis.)</w:t>
      </w:r>
    </w:p>
    <w:p w:rsidR="00E31C45" w:rsidRPr="005825D4" w:rsidRDefault="00096CB5" w:rsidP="00A722C4">
      <w:pPr>
        <w:spacing w:line="360" w:lineRule="auto"/>
        <w:rPr>
          <w:lang w:val="en-ZA"/>
        </w:rPr>
      </w:pPr>
      <w:r w:rsidRPr="005825D4">
        <w:rPr>
          <w:lang w:val="en-ZA"/>
        </w:rPr>
        <w:t xml:space="preserve">The tailoring envisaged in the dictum is in line with what is set out in para 51 of </w:t>
      </w:r>
      <w:r w:rsidRPr="005825D4">
        <w:rPr>
          <w:i/>
          <w:lang w:val="en-ZA"/>
        </w:rPr>
        <w:t>Islamic Unity</w:t>
      </w:r>
      <w:r w:rsidR="00EE0054" w:rsidRPr="005825D4">
        <w:rPr>
          <w:lang w:val="en-ZA"/>
        </w:rPr>
        <w:t xml:space="preserve"> and referred to in para 50</w:t>
      </w:r>
      <w:r w:rsidRPr="005825D4">
        <w:rPr>
          <w:lang w:val="en-ZA"/>
        </w:rPr>
        <w:t xml:space="preserve"> above. </w:t>
      </w:r>
      <w:r w:rsidR="00882DEC" w:rsidRPr="005825D4">
        <w:rPr>
          <w:lang w:val="en-ZA"/>
        </w:rPr>
        <w:t>It is also worth mentioning that we do not have a hierarchy of rights with one trumping another.</w:t>
      </w:r>
      <w:r w:rsidR="00874B82" w:rsidRPr="005825D4">
        <w:rPr>
          <w:rStyle w:val="FootnoteReference"/>
          <w:lang w:val="en-ZA"/>
        </w:rPr>
        <w:footnoteReference w:id="59"/>
      </w:r>
      <w:r w:rsidR="00882DEC" w:rsidRPr="005825D4">
        <w:rPr>
          <w:lang w:val="en-ZA"/>
        </w:rPr>
        <w:t xml:space="preserve"> When rights come into conflict, the constitutional standard is one of proportionality as envisaged in s 36 of the Constitution. </w:t>
      </w:r>
    </w:p>
    <w:p w:rsidR="00096CB5" w:rsidRPr="005825D4" w:rsidRDefault="00096CB5" w:rsidP="00A722C4">
      <w:pPr>
        <w:spacing w:line="360" w:lineRule="auto"/>
        <w:rPr>
          <w:sz w:val="22"/>
          <w:lang w:val="en-ZA"/>
        </w:rPr>
      </w:pPr>
    </w:p>
    <w:p w:rsidR="00E31C45" w:rsidRPr="005825D4" w:rsidRDefault="00D42FF6" w:rsidP="00A722C4">
      <w:pPr>
        <w:spacing w:line="360" w:lineRule="auto"/>
        <w:rPr>
          <w:lang w:val="en-ZA"/>
        </w:rPr>
      </w:pPr>
      <w:r w:rsidRPr="005825D4">
        <w:rPr>
          <w:lang w:val="en-ZA"/>
        </w:rPr>
        <w:t>[8</w:t>
      </w:r>
      <w:r w:rsidR="001A5364" w:rsidRPr="005825D4">
        <w:rPr>
          <w:lang w:val="en-ZA"/>
        </w:rPr>
        <w:t>3</w:t>
      </w:r>
      <w:r w:rsidR="00E31C45" w:rsidRPr="005825D4">
        <w:rPr>
          <w:lang w:val="en-ZA"/>
        </w:rPr>
        <w:t>]</w:t>
      </w:r>
      <w:r w:rsidR="00E31C45" w:rsidRPr="005825D4">
        <w:rPr>
          <w:lang w:val="en-ZA"/>
        </w:rPr>
        <w:tab/>
        <w:t xml:space="preserve">Webb also deals with the regulation of hate speech in Germany. German law rejects free speech protection when there is an attack on human dignity. </w:t>
      </w:r>
      <w:r w:rsidR="00284181" w:rsidRPr="005825D4">
        <w:rPr>
          <w:lang w:val="en-ZA"/>
        </w:rPr>
        <w:t>Its hate law provisions protect against insult</w:t>
      </w:r>
      <w:r w:rsidR="00D01387" w:rsidRPr="005825D4">
        <w:rPr>
          <w:lang w:val="en-ZA"/>
        </w:rPr>
        <w:t>,</w:t>
      </w:r>
      <w:r w:rsidR="00284181" w:rsidRPr="005825D4">
        <w:rPr>
          <w:lang w:val="en-ZA"/>
        </w:rPr>
        <w:t xml:space="preserve"> defamation and other forms of verbal assault. It must of course be remembered that regulation in Germany must be seen in the context of atrocities orchestrated </w:t>
      </w:r>
      <w:r w:rsidR="00882DEC" w:rsidRPr="005825D4">
        <w:rPr>
          <w:lang w:val="en-ZA"/>
        </w:rPr>
        <w:t xml:space="preserve">historically </w:t>
      </w:r>
      <w:r w:rsidR="00284181" w:rsidRPr="005825D4">
        <w:rPr>
          <w:lang w:val="en-ZA"/>
        </w:rPr>
        <w:t>under the Nazi regime. Section 130(1) of the German criminal code makes it unlawful to ‘in a manner capable of dist</w:t>
      </w:r>
      <w:r w:rsidR="00183711" w:rsidRPr="005825D4">
        <w:rPr>
          <w:lang w:val="en-ZA"/>
        </w:rPr>
        <w:t xml:space="preserve">urbing the peace . . . incite </w:t>
      </w:r>
      <w:r w:rsidR="00284181" w:rsidRPr="005825D4">
        <w:rPr>
          <w:lang w:val="en-ZA"/>
        </w:rPr>
        <w:t xml:space="preserve"> hatred against segm</w:t>
      </w:r>
      <w:r w:rsidR="00183711" w:rsidRPr="005825D4">
        <w:rPr>
          <w:lang w:val="en-ZA"/>
        </w:rPr>
        <w:t>ents of the population or call</w:t>
      </w:r>
      <w:r w:rsidR="00284181" w:rsidRPr="005825D4">
        <w:rPr>
          <w:lang w:val="en-ZA"/>
        </w:rPr>
        <w:t xml:space="preserve"> for violent or arbitrary measures a</w:t>
      </w:r>
      <w:r w:rsidR="00183711" w:rsidRPr="005825D4">
        <w:rPr>
          <w:lang w:val="en-ZA"/>
        </w:rPr>
        <w:t>gainst them; or . . . assault</w:t>
      </w:r>
      <w:r w:rsidR="00284181" w:rsidRPr="005825D4">
        <w:rPr>
          <w:lang w:val="en-ZA"/>
        </w:rPr>
        <w:t xml:space="preserve"> the human dignity of others by insulting, maliciously maligning or defaming segments of the population . . . .’ Other provisions prohibit disseminating, displaying, supplying, producing, or facilitating the use of written materials that incite hatred.</w:t>
      </w:r>
      <w:r w:rsidR="00183711" w:rsidRPr="005825D4">
        <w:rPr>
          <w:lang w:val="en-ZA"/>
        </w:rPr>
        <w:t xml:space="preserve"> There, too, there is regulation by way of criminal prosecution and sanction. </w:t>
      </w:r>
    </w:p>
    <w:p w:rsidR="00A3052F" w:rsidRPr="005825D4" w:rsidRDefault="00A3052F" w:rsidP="00A722C4">
      <w:pPr>
        <w:spacing w:line="360" w:lineRule="auto"/>
        <w:rPr>
          <w:lang w:val="en-ZA"/>
        </w:rPr>
      </w:pPr>
    </w:p>
    <w:p w:rsidR="00A3052F" w:rsidRPr="005825D4" w:rsidRDefault="001A5364" w:rsidP="00A722C4">
      <w:pPr>
        <w:spacing w:line="360" w:lineRule="auto"/>
        <w:rPr>
          <w:lang w:val="en-ZA"/>
        </w:rPr>
      </w:pPr>
      <w:r w:rsidRPr="005825D4">
        <w:rPr>
          <w:lang w:val="en-ZA"/>
        </w:rPr>
        <w:lastRenderedPageBreak/>
        <w:t>[84</w:t>
      </w:r>
      <w:r w:rsidR="00A3052F" w:rsidRPr="005825D4">
        <w:rPr>
          <w:lang w:val="en-ZA"/>
        </w:rPr>
        <w:t>]</w:t>
      </w:r>
      <w:r w:rsidR="00A3052F" w:rsidRPr="005825D4">
        <w:rPr>
          <w:lang w:val="en-ZA"/>
        </w:rPr>
        <w:tab/>
      </w:r>
      <w:r w:rsidR="00F0101D" w:rsidRPr="005825D4">
        <w:rPr>
          <w:lang w:val="en-ZA"/>
        </w:rPr>
        <w:t>In relation to South Africa, Webb remarks that we followed the international movement to regulate speech by adopting s 16</w:t>
      </w:r>
      <w:r w:rsidR="0007435C" w:rsidRPr="005825D4">
        <w:rPr>
          <w:lang w:val="en-ZA"/>
        </w:rPr>
        <w:t>(2)</w:t>
      </w:r>
      <w:r w:rsidR="00F0101D" w:rsidRPr="005825D4">
        <w:rPr>
          <w:lang w:val="en-ZA"/>
        </w:rPr>
        <w:t xml:space="preserve"> of the Constitution. In this regard, he </w:t>
      </w:r>
      <w:r w:rsidR="00D01387" w:rsidRPr="005825D4">
        <w:rPr>
          <w:lang w:val="en-ZA"/>
        </w:rPr>
        <w:t>asserts that our historical</w:t>
      </w:r>
      <w:r w:rsidR="00F0101D" w:rsidRPr="005825D4">
        <w:rPr>
          <w:lang w:val="en-ZA"/>
        </w:rPr>
        <w:t xml:space="preserve"> racial divisions must have played a prominent role in adopting hate speech regulation. He correctly notes that human dignity is emphasised in </w:t>
      </w:r>
      <w:r w:rsidR="00D01387" w:rsidRPr="005825D4">
        <w:rPr>
          <w:lang w:val="en-ZA"/>
        </w:rPr>
        <w:t>our c</w:t>
      </w:r>
      <w:r w:rsidR="00F0101D" w:rsidRPr="005825D4">
        <w:rPr>
          <w:lang w:val="en-ZA"/>
        </w:rPr>
        <w:t xml:space="preserve">onstitution. </w:t>
      </w:r>
      <w:r w:rsidR="00A62174" w:rsidRPr="005825D4">
        <w:rPr>
          <w:lang w:val="en-ZA"/>
        </w:rPr>
        <w:t>In relation to the limitation clause, he had regard to the provisions of PEPUDA and, more particularly, s 10</w:t>
      </w:r>
      <w:r w:rsidR="00EE0054" w:rsidRPr="005825D4">
        <w:rPr>
          <w:lang w:val="en-ZA"/>
        </w:rPr>
        <w:t>(1)</w:t>
      </w:r>
      <w:r w:rsidR="00A62174" w:rsidRPr="005825D4">
        <w:rPr>
          <w:lang w:val="en-ZA"/>
        </w:rPr>
        <w:t xml:space="preserve">. He accepts that it sets ‘a low threshold for violation’ and that speech need only be reasonably construed as being intended to have certain consequences. </w:t>
      </w:r>
      <w:r w:rsidR="00FB53F9" w:rsidRPr="005825D4">
        <w:rPr>
          <w:lang w:val="en-ZA"/>
        </w:rPr>
        <w:t>I have already dealt at length with that threshold. Although it is unclear, he appears to suggest that a constitutional amendment entrenching the lower threshold might be an option to be considered.</w:t>
      </w:r>
      <w:r w:rsidR="00FB53F9" w:rsidRPr="005825D4">
        <w:rPr>
          <w:rStyle w:val="FootnoteReference"/>
          <w:lang w:val="en-ZA"/>
        </w:rPr>
        <w:footnoteReference w:id="60"/>
      </w:r>
    </w:p>
    <w:p w:rsidR="00FB53F9" w:rsidRPr="005825D4" w:rsidRDefault="00FB53F9" w:rsidP="00A722C4">
      <w:pPr>
        <w:spacing w:line="360" w:lineRule="auto"/>
        <w:rPr>
          <w:lang w:val="en-ZA"/>
        </w:rPr>
      </w:pPr>
    </w:p>
    <w:p w:rsidR="00FB53F9" w:rsidRPr="005825D4" w:rsidRDefault="001A5364" w:rsidP="00A722C4">
      <w:pPr>
        <w:spacing w:line="360" w:lineRule="auto"/>
        <w:rPr>
          <w:lang w:val="en-ZA"/>
        </w:rPr>
      </w:pPr>
      <w:r w:rsidRPr="005825D4">
        <w:rPr>
          <w:lang w:val="en-ZA"/>
        </w:rPr>
        <w:t>[85</w:t>
      </w:r>
      <w:r w:rsidR="00FB53F9" w:rsidRPr="005825D4">
        <w:rPr>
          <w:lang w:val="en-ZA"/>
        </w:rPr>
        <w:t>]</w:t>
      </w:r>
      <w:r w:rsidR="00FB53F9" w:rsidRPr="005825D4">
        <w:rPr>
          <w:lang w:val="en-ZA"/>
        </w:rPr>
        <w:tab/>
        <w:t xml:space="preserve">None of the </w:t>
      </w:r>
      <w:r w:rsidR="006D4122" w:rsidRPr="005825D4">
        <w:rPr>
          <w:lang w:val="en-ZA"/>
        </w:rPr>
        <w:t>democracies referred to by Webb</w:t>
      </w:r>
      <w:r w:rsidR="00FB53F9" w:rsidRPr="005825D4">
        <w:rPr>
          <w:lang w:val="en-ZA"/>
        </w:rPr>
        <w:t xml:space="preserve"> have regulation in </w:t>
      </w:r>
      <w:r w:rsidR="00710FE4" w:rsidRPr="005825D4">
        <w:rPr>
          <w:lang w:val="en-ZA"/>
        </w:rPr>
        <w:t>a</w:t>
      </w:r>
      <w:r w:rsidR="00FB53F9" w:rsidRPr="005825D4">
        <w:rPr>
          <w:lang w:val="en-ZA"/>
        </w:rPr>
        <w:t xml:space="preserve"> form </w:t>
      </w:r>
      <w:r w:rsidR="00710FE4" w:rsidRPr="005825D4">
        <w:rPr>
          <w:lang w:val="en-ZA"/>
        </w:rPr>
        <w:t>that</w:t>
      </w:r>
      <w:r w:rsidR="00EE0054" w:rsidRPr="005825D4">
        <w:rPr>
          <w:lang w:val="en-ZA"/>
        </w:rPr>
        <w:t xml:space="preserve"> is akin to or</w:t>
      </w:r>
      <w:r w:rsidR="00710FE4" w:rsidRPr="005825D4">
        <w:rPr>
          <w:lang w:val="en-ZA"/>
        </w:rPr>
        <w:t xml:space="preserve"> </w:t>
      </w:r>
      <w:r w:rsidR="006B0641" w:rsidRPr="005825D4">
        <w:rPr>
          <w:lang w:val="en-ZA"/>
        </w:rPr>
        <w:t xml:space="preserve">that </w:t>
      </w:r>
      <w:r w:rsidR="00710FE4" w:rsidRPr="005825D4">
        <w:rPr>
          <w:lang w:val="en-ZA"/>
        </w:rPr>
        <w:t>even comes close to</w:t>
      </w:r>
      <w:r w:rsidR="00FB53F9" w:rsidRPr="005825D4">
        <w:rPr>
          <w:lang w:val="en-ZA"/>
        </w:rPr>
        <w:t xml:space="preserve"> s 10</w:t>
      </w:r>
      <w:r w:rsidR="0007435C" w:rsidRPr="005825D4">
        <w:rPr>
          <w:lang w:val="en-ZA"/>
        </w:rPr>
        <w:t>(1)</w:t>
      </w:r>
      <w:r w:rsidR="00FB53F9" w:rsidRPr="005825D4">
        <w:rPr>
          <w:lang w:val="en-ZA"/>
        </w:rPr>
        <w:t xml:space="preserve"> of PEPUDA. Before us, </w:t>
      </w:r>
      <w:r w:rsidR="00874808" w:rsidRPr="005825D4">
        <w:rPr>
          <w:lang w:val="en-ZA"/>
        </w:rPr>
        <w:t xml:space="preserve">unsurprisingly, </w:t>
      </w:r>
      <w:r w:rsidR="00FB53F9" w:rsidRPr="005825D4">
        <w:rPr>
          <w:lang w:val="en-ZA"/>
        </w:rPr>
        <w:t xml:space="preserve">no counsel could point to any decision or regulation in any comparable democratic system which </w:t>
      </w:r>
      <w:r w:rsidR="006D4122" w:rsidRPr="005825D4">
        <w:rPr>
          <w:lang w:val="en-ZA"/>
        </w:rPr>
        <w:t>equates with, or even comes close to, the</w:t>
      </w:r>
      <w:r w:rsidR="00FB53F9" w:rsidRPr="005825D4">
        <w:rPr>
          <w:lang w:val="en-ZA"/>
        </w:rPr>
        <w:t xml:space="preserve"> lower threshold contained in s 10</w:t>
      </w:r>
      <w:r w:rsidR="006D4122" w:rsidRPr="005825D4">
        <w:rPr>
          <w:lang w:val="en-ZA"/>
        </w:rPr>
        <w:t>(1)</w:t>
      </w:r>
      <w:r w:rsidR="00FB53F9" w:rsidRPr="005825D4">
        <w:rPr>
          <w:lang w:val="en-ZA"/>
        </w:rPr>
        <w:t xml:space="preserve"> even </w:t>
      </w:r>
      <w:r w:rsidR="00D01387" w:rsidRPr="005825D4">
        <w:rPr>
          <w:lang w:val="en-ZA"/>
        </w:rPr>
        <w:t>assuming</w:t>
      </w:r>
      <w:r w:rsidR="00FB53F9" w:rsidRPr="005825D4">
        <w:rPr>
          <w:lang w:val="en-ZA"/>
        </w:rPr>
        <w:t xml:space="preserve"> that it is intelligible. </w:t>
      </w:r>
      <w:r w:rsidR="00DF5979" w:rsidRPr="005825D4">
        <w:rPr>
          <w:lang w:val="en-ZA"/>
        </w:rPr>
        <w:t xml:space="preserve">We can all agree that it is important to protect the dignity of all our citizens. Equally, we must agree, given our history, that freedom of expression must also be prized. That does not mean that hate speech beyond the provisions of s 16 cannot be proscribed. It must, however, be tailored so as to comply with constitutional prescripts and it must survive a justification analysis. </w:t>
      </w:r>
    </w:p>
    <w:p w:rsidR="00916090" w:rsidRPr="005825D4" w:rsidRDefault="00916090" w:rsidP="00A722C4">
      <w:pPr>
        <w:spacing w:line="360" w:lineRule="auto"/>
        <w:rPr>
          <w:lang w:val="en-ZA"/>
        </w:rPr>
      </w:pPr>
    </w:p>
    <w:p w:rsidR="00916090" w:rsidRPr="005825D4" w:rsidRDefault="001A5364" w:rsidP="00A722C4">
      <w:pPr>
        <w:spacing w:line="360" w:lineRule="auto"/>
        <w:rPr>
          <w:lang w:val="en-ZA"/>
        </w:rPr>
      </w:pPr>
      <w:r w:rsidRPr="005825D4">
        <w:rPr>
          <w:lang w:val="en-ZA"/>
        </w:rPr>
        <w:t>[86</w:t>
      </w:r>
      <w:r w:rsidR="00916090" w:rsidRPr="005825D4">
        <w:rPr>
          <w:lang w:val="en-ZA"/>
        </w:rPr>
        <w:t>]</w:t>
      </w:r>
      <w:r w:rsidR="00916090" w:rsidRPr="005825D4">
        <w:rPr>
          <w:lang w:val="en-ZA"/>
        </w:rPr>
        <w:tab/>
        <w:t>The interpretation of legislation in conformity with the Constitution, often called ‘reading-down’, is to avoid inconsistency between the law and the Constitution. It is important to bear in mind that this exercise is limited to what the text is reasonably capable of meaning. It is to be distinguished from the ‘reading-in’ of missing words from a statutory provision</w:t>
      </w:r>
      <w:r w:rsidR="00B01984" w:rsidRPr="005825D4">
        <w:rPr>
          <w:lang w:val="en-ZA"/>
        </w:rPr>
        <w:t>. In this regard, see the decision of the</w:t>
      </w:r>
      <w:r w:rsidR="00093419" w:rsidRPr="005825D4">
        <w:rPr>
          <w:lang w:val="en-ZA"/>
        </w:rPr>
        <w:t xml:space="preserve"> Constitutional C</w:t>
      </w:r>
      <w:r w:rsidR="00B01984" w:rsidRPr="005825D4">
        <w:rPr>
          <w:lang w:val="en-ZA"/>
        </w:rPr>
        <w:t xml:space="preserve">ourt in </w:t>
      </w:r>
      <w:r w:rsidR="00B01984" w:rsidRPr="005825D4">
        <w:rPr>
          <w:i/>
          <w:lang w:val="en-ZA"/>
        </w:rPr>
        <w:t>Moyo &amp; another v Minister of Police &amp; others</w:t>
      </w:r>
      <w:r w:rsidR="00AC7AE1" w:rsidRPr="005825D4">
        <w:rPr>
          <w:lang w:val="en-ZA"/>
        </w:rPr>
        <w:t xml:space="preserve">; </w:t>
      </w:r>
      <w:r w:rsidR="00AC7AE1" w:rsidRPr="005825D4">
        <w:rPr>
          <w:i/>
          <w:iCs/>
          <w:lang w:val="en-ZA"/>
        </w:rPr>
        <w:t xml:space="preserve">Sonti &amp; another v Minister </w:t>
      </w:r>
      <w:r w:rsidR="00A12E62" w:rsidRPr="005825D4">
        <w:rPr>
          <w:i/>
          <w:iCs/>
          <w:lang w:val="en-ZA"/>
        </w:rPr>
        <w:t>of Police &amp; others</w:t>
      </w:r>
      <w:r w:rsidR="00A12E62" w:rsidRPr="005825D4">
        <w:rPr>
          <w:lang w:val="en-ZA"/>
        </w:rPr>
        <w:t>.</w:t>
      </w:r>
      <w:r w:rsidR="00B01984" w:rsidRPr="005825D4">
        <w:rPr>
          <w:rStyle w:val="FootnoteReference"/>
          <w:lang w:val="en-ZA"/>
        </w:rPr>
        <w:footnoteReference w:id="61"/>
      </w:r>
      <w:r w:rsidR="00B01984" w:rsidRPr="005825D4">
        <w:rPr>
          <w:lang w:val="en-ZA"/>
        </w:rPr>
        <w:t xml:space="preserve"> </w:t>
      </w:r>
      <w:r w:rsidR="00366567" w:rsidRPr="005825D4">
        <w:rPr>
          <w:lang w:val="en-ZA"/>
        </w:rPr>
        <w:t>At para 57, the court said the following:</w:t>
      </w:r>
    </w:p>
    <w:p w:rsidR="00366567" w:rsidRPr="005825D4" w:rsidRDefault="00366567" w:rsidP="00A722C4">
      <w:pPr>
        <w:spacing w:line="360" w:lineRule="auto"/>
        <w:rPr>
          <w:sz w:val="22"/>
          <w:lang w:val="en-ZA"/>
        </w:rPr>
      </w:pPr>
      <w:r w:rsidRPr="005825D4">
        <w:rPr>
          <w:sz w:val="22"/>
          <w:lang w:val="en-ZA"/>
        </w:rPr>
        <w:lastRenderedPageBreak/>
        <w:t xml:space="preserve">‘When attempting to interpret legislation by “reading-down” a section in order to bring it into conformity with the Constitution, care should be taken to stay within the boundaries of a reasonable and plausible construction that does not rewrite the text. To overstep this mark would be tantamount to the actual “reading-in” of words into the statute. To do so would be a clear breach of the separation of powers. So much was said in </w:t>
      </w:r>
      <w:r w:rsidRPr="005825D4">
        <w:rPr>
          <w:i/>
          <w:sz w:val="22"/>
          <w:lang w:val="en-ZA"/>
        </w:rPr>
        <w:t>Abahlali</w:t>
      </w:r>
      <w:r w:rsidRPr="005825D4">
        <w:rPr>
          <w:sz w:val="22"/>
          <w:lang w:val="en-ZA"/>
        </w:rPr>
        <w:t>,</w:t>
      </w:r>
      <w:r w:rsidR="00747052" w:rsidRPr="005825D4">
        <w:rPr>
          <w:rStyle w:val="FootnoteReference"/>
          <w:sz w:val="22"/>
          <w:lang w:val="en-ZA"/>
        </w:rPr>
        <w:footnoteReference w:id="62"/>
      </w:r>
      <w:r w:rsidRPr="005825D4">
        <w:rPr>
          <w:sz w:val="22"/>
          <w:lang w:val="en-ZA"/>
        </w:rPr>
        <w:t xml:space="preserve"> where an approach that sought to add at least six qualifications to the text was held to be “an intrusive interpretation” that “offends requirements of the rule of law and the separation of powers”. </w:t>
      </w:r>
    </w:p>
    <w:p w:rsidR="000C42CA" w:rsidRPr="005825D4" w:rsidRDefault="000C42CA" w:rsidP="00A722C4">
      <w:pPr>
        <w:spacing w:line="360" w:lineRule="auto"/>
        <w:rPr>
          <w:sz w:val="22"/>
          <w:lang w:val="en-ZA"/>
        </w:rPr>
      </w:pPr>
    </w:p>
    <w:p w:rsidR="000C42CA" w:rsidRPr="005825D4" w:rsidRDefault="001A5364" w:rsidP="00A722C4">
      <w:pPr>
        <w:spacing w:line="360" w:lineRule="auto"/>
        <w:rPr>
          <w:lang w:val="en-ZA"/>
        </w:rPr>
      </w:pPr>
      <w:r w:rsidRPr="005825D4">
        <w:rPr>
          <w:lang w:val="en-ZA"/>
        </w:rPr>
        <w:t>[87</w:t>
      </w:r>
      <w:r w:rsidR="000C42CA" w:rsidRPr="005825D4">
        <w:rPr>
          <w:lang w:val="en-ZA"/>
        </w:rPr>
        <w:t>]</w:t>
      </w:r>
      <w:r w:rsidR="000C42CA" w:rsidRPr="005825D4">
        <w:rPr>
          <w:lang w:val="en-ZA"/>
        </w:rPr>
        <w:tab/>
        <w:t xml:space="preserve">In the present case, </w:t>
      </w:r>
      <w:r w:rsidR="00A400BE" w:rsidRPr="005825D4">
        <w:rPr>
          <w:lang w:val="en-ZA"/>
        </w:rPr>
        <w:t xml:space="preserve">in interpreting the legislation in question, </w:t>
      </w:r>
      <w:r w:rsidR="000C42CA" w:rsidRPr="005825D4">
        <w:rPr>
          <w:lang w:val="en-ZA"/>
        </w:rPr>
        <w:t xml:space="preserve">one should be </w:t>
      </w:r>
      <w:r w:rsidR="00A400BE" w:rsidRPr="005825D4">
        <w:rPr>
          <w:lang w:val="en-ZA"/>
        </w:rPr>
        <w:t xml:space="preserve">aware that one is </w:t>
      </w:r>
      <w:r w:rsidR="000C42CA" w:rsidRPr="005825D4">
        <w:rPr>
          <w:lang w:val="en-ZA"/>
        </w:rPr>
        <w:t xml:space="preserve">dealing with competing constitutional rights and with the Legislature’s understandable concern that hate speech should not be allowed to </w:t>
      </w:r>
      <w:r w:rsidR="00713A7E" w:rsidRPr="005825D4">
        <w:rPr>
          <w:lang w:val="en-ZA"/>
        </w:rPr>
        <w:t xml:space="preserve">threaten the constitutional project. </w:t>
      </w:r>
      <w:r w:rsidR="00F961A8" w:rsidRPr="005825D4">
        <w:rPr>
          <w:lang w:val="en-ZA"/>
        </w:rPr>
        <w:t>It is clear, as observed by commentators, that it wanted to regulate hate speech as broadly as possible. Unfortunately, it did not do so with</w:t>
      </w:r>
      <w:r w:rsidR="00A400BE" w:rsidRPr="005825D4">
        <w:rPr>
          <w:lang w:val="en-ZA"/>
        </w:rPr>
        <w:t xml:space="preserve"> the necessary</w:t>
      </w:r>
      <w:r w:rsidR="00F961A8" w:rsidRPr="005825D4">
        <w:rPr>
          <w:lang w:val="en-ZA"/>
        </w:rPr>
        <w:t xml:space="preserve"> precision and within constitutional bounds. Bearing in mind the Legislature’s purpose, one should not, however, lose sight of other significant factors, which I allude to hereafter. The powers of an Equality Court adjudicating a complaint </w:t>
      </w:r>
      <w:r w:rsidR="007437B5" w:rsidRPr="005825D4">
        <w:rPr>
          <w:lang w:val="en-ZA"/>
        </w:rPr>
        <w:t xml:space="preserve">as provided for in s 21 of PEPUDA </w:t>
      </w:r>
      <w:r w:rsidR="00F961A8" w:rsidRPr="005825D4">
        <w:rPr>
          <w:lang w:val="en-ZA"/>
        </w:rPr>
        <w:t xml:space="preserve">are extensive. </w:t>
      </w:r>
      <w:r w:rsidR="007437B5" w:rsidRPr="005825D4">
        <w:rPr>
          <w:lang w:val="en-ZA"/>
        </w:rPr>
        <w:t xml:space="preserve">If a complaint is held to be justified, the court may, after an enquiry, </w:t>
      </w:r>
      <w:r w:rsidR="007437B5" w:rsidRPr="005825D4">
        <w:rPr>
          <w:i/>
          <w:lang w:val="en-ZA"/>
        </w:rPr>
        <w:t>inter alia</w:t>
      </w:r>
      <w:r w:rsidR="007437B5" w:rsidRPr="005825D4">
        <w:rPr>
          <w:lang w:val="en-ZA"/>
        </w:rPr>
        <w:t xml:space="preserve">, make an order for payment of damages. Furthermore, it may grant interdictory and/or mandatory relief. An Equality Court may order an audit of policies of practices implicated by an enquiry. Significantly, an Equality Court may, in terms of s 21(4) of PEPUDA, </w:t>
      </w:r>
      <w:r w:rsidR="00604E76" w:rsidRPr="005825D4">
        <w:rPr>
          <w:lang w:val="en-ZA"/>
        </w:rPr>
        <w:t xml:space="preserve">direct the clerk of the court to refer the matter before it to the Director of Public Prosecutions for the possible institution of criminal proceedings in terms of the common law or relevant legislation. </w:t>
      </w:r>
    </w:p>
    <w:p w:rsidR="000C42CA" w:rsidRPr="005825D4" w:rsidRDefault="000C42CA" w:rsidP="00A722C4">
      <w:pPr>
        <w:spacing w:line="360" w:lineRule="auto"/>
        <w:rPr>
          <w:sz w:val="22"/>
          <w:lang w:val="en-ZA"/>
        </w:rPr>
      </w:pPr>
    </w:p>
    <w:p w:rsidR="000334C9" w:rsidRPr="005825D4" w:rsidRDefault="00B01984" w:rsidP="00A722C4">
      <w:pPr>
        <w:spacing w:line="360" w:lineRule="auto"/>
        <w:rPr>
          <w:lang w:val="en-ZA"/>
        </w:rPr>
      </w:pPr>
      <w:r w:rsidRPr="005825D4">
        <w:rPr>
          <w:lang w:val="en-ZA"/>
        </w:rPr>
        <w:t>[8</w:t>
      </w:r>
      <w:r w:rsidR="001A5364" w:rsidRPr="005825D4">
        <w:rPr>
          <w:lang w:val="en-ZA"/>
        </w:rPr>
        <w:t>8</w:t>
      </w:r>
      <w:r w:rsidR="00FC1889" w:rsidRPr="005825D4">
        <w:rPr>
          <w:lang w:val="en-ZA"/>
        </w:rPr>
        <w:t>]</w:t>
      </w:r>
      <w:r w:rsidR="00FC1889" w:rsidRPr="005825D4">
        <w:rPr>
          <w:lang w:val="en-ZA"/>
        </w:rPr>
        <w:tab/>
      </w:r>
      <w:r w:rsidR="00554FCC" w:rsidRPr="005825D4">
        <w:rPr>
          <w:lang w:val="en-ZA"/>
        </w:rPr>
        <w:t xml:space="preserve">To sum up, mindful of the provisions of s 39 of the Constitution, </w:t>
      </w:r>
      <w:r w:rsidR="004014FD" w:rsidRPr="005825D4">
        <w:rPr>
          <w:lang w:val="en-ZA"/>
        </w:rPr>
        <w:t xml:space="preserve">the provisions of s 10 of PEPUDA cannot be saved by </w:t>
      </w:r>
      <w:r w:rsidR="0031205C" w:rsidRPr="005825D4">
        <w:rPr>
          <w:lang w:val="en-ZA"/>
        </w:rPr>
        <w:t>an</w:t>
      </w:r>
      <w:r w:rsidR="004014FD" w:rsidRPr="005825D4">
        <w:rPr>
          <w:lang w:val="en-ZA"/>
        </w:rPr>
        <w:t xml:space="preserve"> interpretive exercise. The problems set out above in relation</w:t>
      </w:r>
      <w:r w:rsidR="000B6BC6" w:rsidRPr="005825D4">
        <w:rPr>
          <w:lang w:val="en-ZA"/>
        </w:rPr>
        <w:t xml:space="preserve"> thereto are too extensive and </w:t>
      </w:r>
      <w:r w:rsidR="000334C9" w:rsidRPr="005825D4">
        <w:rPr>
          <w:lang w:val="en-ZA"/>
        </w:rPr>
        <w:t xml:space="preserve">s 10(1) of PEPUDA </w:t>
      </w:r>
      <w:r w:rsidR="000B6BC6" w:rsidRPr="005825D4">
        <w:rPr>
          <w:lang w:val="en-ZA"/>
        </w:rPr>
        <w:t xml:space="preserve">cannot be </w:t>
      </w:r>
      <w:r w:rsidR="00A400BE" w:rsidRPr="005825D4">
        <w:rPr>
          <w:lang w:val="en-ZA"/>
        </w:rPr>
        <w:t xml:space="preserve">interpreted so as </w:t>
      </w:r>
      <w:r w:rsidR="000B6BC6" w:rsidRPr="005825D4">
        <w:rPr>
          <w:lang w:val="en-ZA"/>
        </w:rPr>
        <w:t>to render it consistent with, rather than inimical, to the Constitution</w:t>
      </w:r>
      <w:r w:rsidR="004014FD" w:rsidRPr="005825D4">
        <w:rPr>
          <w:lang w:val="en-ZA"/>
        </w:rPr>
        <w:t xml:space="preserve">. </w:t>
      </w:r>
      <w:r w:rsidR="000334C9" w:rsidRPr="005825D4">
        <w:rPr>
          <w:lang w:val="en-ZA"/>
        </w:rPr>
        <w:t xml:space="preserve">What was said in </w:t>
      </w:r>
      <w:r w:rsidR="000334C9" w:rsidRPr="005825D4">
        <w:rPr>
          <w:i/>
          <w:lang w:val="en-ZA"/>
        </w:rPr>
        <w:t>Case v Minister of Safety and Security; Curtis v Minister of Safety and Security</w:t>
      </w:r>
      <w:r w:rsidR="00C349C3" w:rsidRPr="005825D4">
        <w:rPr>
          <w:rStyle w:val="FootnoteReference"/>
          <w:i/>
          <w:lang w:val="en-ZA"/>
        </w:rPr>
        <w:footnoteReference w:id="63"/>
      </w:r>
      <w:r w:rsidR="000334C9" w:rsidRPr="005825D4">
        <w:rPr>
          <w:lang w:val="en-ZA"/>
        </w:rPr>
        <w:t xml:space="preserve"> in </w:t>
      </w:r>
      <w:r w:rsidR="000334C9" w:rsidRPr="005825D4">
        <w:rPr>
          <w:lang w:val="en-ZA"/>
        </w:rPr>
        <w:lastRenderedPageBreak/>
        <w:t>relation to the overbroad statutory definition there in question, might well be said of the proscription in s 10</w:t>
      </w:r>
      <w:r w:rsidR="0007435C" w:rsidRPr="005825D4">
        <w:rPr>
          <w:lang w:val="en-ZA"/>
        </w:rPr>
        <w:t>(1)</w:t>
      </w:r>
      <w:r w:rsidR="000334C9" w:rsidRPr="005825D4">
        <w:rPr>
          <w:lang w:val="en-ZA"/>
        </w:rPr>
        <w:t xml:space="preserve"> of PEPUDA. The following appears at para 77:</w:t>
      </w:r>
    </w:p>
    <w:p w:rsidR="00647D82" w:rsidRPr="005825D4" w:rsidRDefault="000334C9" w:rsidP="00A722C4">
      <w:pPr>
        <w:spacing w:line="360" w:lineRule="auto"/>
        <w:rPr>
          <w:sz w:val="22"/>
          <w:lang w:val="en-ZA"/>
        </w:rPr>
      </w:pPr>
      <w:r w:rsidRPr="005825D4">
        <w:rPr>
          <w:sz w:val="22"/>
          <w:lang w:val="en-ZA"/>
        </w:rPr>
        <w:t>‘The overbreadth of the definition with which we are here concerned can scarcely be described as marginal. It is not as if we are confronted merely with a peripheral excess in scope, surrounding an identifiable proscriptive core that targets constitutionally unprotected material. Rather, the virtually unlimited range of unconstitutional potential application of the Act overwhelms whatever permissible proscription might be identified.’</w:t>
      </w:r>
    </w:p>
    <w:p w:rsidR="00311CE5" w:rsidRPr="005825D4" w:rsidRDefault="00EE0054" w:rsidP="00A722C4">
      <w:pPr>
        <w:spacing w:line="360" w:lineRule="auto"/>
        <w:rPr>
          <w:lang w:val="en-ZA"/>
        </w:rPr>
      </w:pPr>
      <w:r w:rsidRPr="005825D4">
        <w:rPr>
          <w:lang w:val="en-ZA"/>
        </w:rPr>
        <w:t>One does not know be</w:t>
      </w:r>
      <w:r w:rsidR="00311CE5" w:rsidRPr="005825D4">
        <w:rPr>
          <w:lang w:val="en-ZA"/>
        </w:rPr>
        <w:t>forehand</w:t>
      </w:r>
      <w:r w:rsidR="006B0641" w:rsidRPr="005825D4">
        <w:rPr>
          <w:lang w:val="en-ZA"/>
        </w:rPr>
        <w:t xml:space="preserve"> what</w:t>
      </w:r>
      <w:r w:rsidR="00311CE5" w:rsidRPr="005825D4">
        <w:rPr>
          <w:lang w:val="en-ZA"/>
        </w:rPr>
        <w:t xml:space="preserve"> conduct is prohibited and citizens cannot be expected to know what is required of them. As noted in </w:t>
      </w:r>
      <w:r w:rsidR="00311CE5" w:rsidRPr="005825D4">
        <w:rPr>
          <w:i/>
          <w:lang w:val="en-ZA"/>
        </w:rPr>
        <w:t>Investigating Directorate: Serious Economic Offences &amp; others v Hyundai Motor Distributors (Pty) Ltd &amp; others: In Re Hyundai Motor Distribut</w:t>
      </w:r>
      <w:r w:rsidR="00302F08" w:rsidRPr="005825D4">
        <w:rPr>
          <w:i/>
          <w:lang w:val="en-ZA"/>
        </w:rPr>
        <w:t>ors (Pty) Ltd &amp; others v Smit N</w:t>
      </w:r>
      <w:r w:rsidR="00311CE5" w:rsidRPr="005825D4">
        <w:rPr>
          <w:i/>
          <w:lang w:val="en-ZA"/>
        </w:rPr>
        <w:t>O &amp; others</w:t>
      </w:r>
      <w:r w:rsidR="00311CE5" w:rsidRPr="005825D4">
        <w:rPr>
          <w:lang w:val="en-ZA"/>
        </w:rPr>
        <w:t>:</w:t>
      </w:r>
      <w:r w:rsidR="00C349C3" w:rsidRPr="005825D4">
        <w:rPr>
          <w:rStyle w:val="FootnoteReference"/>
          <w:lang w:val="en-ZA"/>
        </w:rPr>
        <w:footnoteReference w:id="64"/>
      </w:r>
    </w:p>
    <w:p w:rsidR="00311CE5" w:rsidRPr="005825D4" w:rsidRDefault="00311CE5" w:rsidP="00A722C4">
      <w:pPr>
        <w:spacing w:line="360" w:lineRule="auto"/>
        <w:rPr>
          <w:sz w:val="22"/>
          <w:lang w:val="en-ZA"/>
        </w:rPr>
      </w:pPr>
      <w:r w:rsidRPr="005825D4">
        <w:rPr>
          <w:sz w:val="22"/>
          <w:lang w:val="en-ZA"/>
        </w:rPr>
        <w:t>‘[T]he Legislature is under a duty to pass legislation that is reasonably clear and precise, enabling citizens and officials to understand what is expected of them.’</w:t>
      </w:r>
      <w:r w:rsidRPr="005825D4">
        <w:rPr>
          <w:rStyle w:val="FootnoteReference"/>
          <w:sz w:val="22"/>
          <w:lang w:val="en-ZA"/>
        </w:rPr>
        <w:footnoteReference w:id="65"/>
      </w:r>
    </w:p>
    <w:p w:rsidR="008D5F87" w:rsidRPr="005825D4" w:rsidRDefault="00647D82" w:rsidP="00A722C4">
      <w:pPr>
        <w:spacing w:line="360" w:lineRule="auto"/>
        <w:rPr>
          <w:lang w:val="en-ZA"/>
        </w:rPr>
      </w:pPr>
      <w:r w:rsidRPr="005825D4">
        <w:rPr>
          <w:lang w:val="en-ZA"/>
        </w:rPr>
        <w:t>For all the reasons set out above, s</w:t>
      </w:r>
      <w:r w:rsidR="00951C64" w:rsidRPr="005825D4">
        <w:rPr>
          <w:lang w:val="en-ZA"/>
        </w:rPr>
        <w:t xml:space="preserve"> 10</w:t>
      </w:r>
      <w:r w:rsidRPr="005825D4">
        <w:rPr>
          <w:lang w:val="en-ZA"/>
        </w:rPr>
        <w:t>(1)</w:t>
      </w:r>
      <w:r w:rsidR="00951C64" w:rsidRPr="005825D4">
        <w:rPr>
          <w:lang w:val="en-ZA"/>
        </w:rPr>
        <w:t xml:space="preserve"> of PEPUDA</w:t>
      </w:r>
      <w:r w:rsidRPr="005825D4">
        <w:rPr>
          <w:lang w:val="en-ZA"/>
        </w:rPr>
        <w:t>, in its present form</w:t>
      </w:r>
      <w:r w:rsidR="00951C64" w:rsidRPr="005825D4">
        <w:rPr>
          <w:lang w:val="en-ZA"/>
        </w:rPr>
        <w:t xml:space="preserve"> is unconstitutional. </w:t>
      </w:r>
    </w:p>
    <w:p w:rsidR="008D5F87" w:rsidRPr="005825D4" w:rsidRDefault="008D5F87" w:rsidP="00A722C4">
      <w:pPr>
        <w:spacing w:line="360" w:lineRule="auto"/>
        <w:rPr>
          <w:lang w:val="en-ZA"/>
        </w:rPr>
      </w:pPr>
    </w:p>
    <w:p w:rsidR="0007435C" w:rsidRPr="005825D4" w:rsidRDefault="0007435C" w:rsidP="00A722C4">
      <w:pPr>
        <w:spacing w:line="360" w:lineRule="auto"/>
        <w:rPr>
          <w:b/>
          <w:lang w:val="en-ZA"/>
        </w:rPr>
      </w:pPr>
      <w:r w:rsidRPr="005825D4">
        <w:rPr>
          <w:b/>
          <w:lang w:val="en-ZA"/>
        </w:rPr>
        <w:t>Remedy</w:t>
      </w:r>
    </w:p>
    <w:p w:rsidR="00FC1889" w:rsidRPr="005825D4" w:rsidRDefault="00647D82" w:rsidP="00A722C4">
      <w:pPr>
        <w:spacing w:line="360" w:lineRule="auto"/>
        <w:rPr>
          <w:sz w:val="22"/>
          <w:lang w:val="en-ZA"/>
        </w:rPr>
      </w:pPr>
      <w:r w:rsidRPr="005825D4">
        <w:rPr>
          <w:lang w:val="en-ZA"/>
        </w:rPr>
        <w:t>[</w:t>
      </w:r>
      <w:r w:rsidR="00B01984" w:rsidRPr="005825D4">
        <w:rPr>
          <w:lang w:val="en-ZA"/>
        </w:rPr>
        <w:t>8</w:t>
      </w:r>
      <w:r w:rsidR="001A5364" w:rsidRPr="005825D4">
        <w:rPr>
          <w:lang w:val="en-ZA"/>
        </w:rPr>
        <w:t>9</w:t>
      </w:r>
      <w:r w:rsidRPr="005825D4">
        <w:rPr>
          <w:lang w:val="en-ZA"/>
        </w:rPr>
        <w:t>]</w:t>
      </w:r>
      <w:r w:rsidRPr="005825D4">
        <w:rPr>
          <w:lang w:val="en-ZA"/>
        </w:rPr>
        <w:tab/>
        <w:t xml:space="preserve">In light of the conclusion reached in the preceding paragraph, </w:t>
      </w:r>
      <w:r w:rsidR="00951C64" w:rsidRPr="005825D4">
        <w:rPr>
          <w:lang w:val="en-ZA"/>
        </w:rPr>
        <w:t>s 172</w:t>
      </w:r>
      <w:r w:rsidRPr="005825D4">
        <w:rPr>
          <w:lang w:val="en-ZA"/>
        </w:rPr>
        <w:t>(1)</w:t>
      </w:r>
      <w:r w:rsidR="00951C64" w:rsidRPr="005825D4">
        <w:rPr>
          <w:lang w:val="en-ZA"/>
        </w:rPr>
        <w:t xml:space="preserve"> of the Constitution looms large. </w:t>
      </w:r>
      <w:r w:rsidR="00AE7B0B" w:rsidRPr="005825D4">
        <w:rPr>
          <w:lang w:val="en-ZA"/>
        </w:rPr>
        <w:t>That section of the Constitution reads as follows:</w:t>
      </w:r>
    </w:p>
    <w:p w:rsidR="00647D82" w:rsidRPr="005825D4" w:rsidRDefault="00AE7B0B" w:rsidP="00A722C4">
      <w:pPr>
        <w:spacing w:line="360" w:lineRule="auto"/>
        <w:rPr>
          <w:sz w:val="22"/>
          <w:lang w:val="en-ZA"/>
        </w:rPr>
      </w:pPr>
      <w:r w:rsidRPr="005825D4">
        <w:rPr>
          <w:sz w:val="22"/>
          <w:lang w:val="en-ZA"/>
        </w:rPr>
        <w:t>‘</w:t>
      </w:r>
      <w:r w:rsidR="00647D82" w:rsidRPr="005825D4">
        <w:rPr>
          <w:sz w:val="22"/>
          <w:lang w:val="en-ZA"/>
        </w:rPr>
        <w:t xml:space="preserve">(1) When deciding a constitutional matter within its power, a court - </w:t>
      </w:r>
    </w:p>
    <w:p w:rsidR="00AE7B0B" w:rsidRPr="005825D4" w:rsidRDefault="00AE7B0B" w:rsidP="00A722C4">
      <w:pPr>
        <w:spacing w:line="360" w:lineRule="auto"/>
        <w:rPr>
          <w:sz w:val="22"/>
          <w:lang w:val="en-ZA"/>
        </w:rPr>
      </w:pPr>
      <w:r w:rsidRPr="005825D4">
        <w:rPr>
          <w:i/>
          <w:sz w:val="22"/>
          <w:lang w:val="en-ZA"/>
        </w:rPr>
        <w:t>(a)</w:t>
      </w:r>
      <w:r w:rsidRPr="005825D4">
        <w:rPr>
          <w:sz w:val="22"/>
          <w:lang w:val="en-ZA"/>
        </w:rPr>
        <w:t xml:space="preserve"> must declare that any law or conduct that is inconsistent with the Constitution is invalid to the extent of its inconsistency; and</w:t>
      </w:r>
    </w:p>
    <w:p w:rsidR="00AE7B0B" w:rsidRPr="005825D4" w:rsidRDefault="00AE7B0B" w:rsidP="00A722C4">
      <w:pPr>
        <w:spacing w:line="360" w:lineRule="auto"/>
        <w:rPr>
          <w:sz w:val="22"/>
          <w:lang w:val="en-ZA"/>
        </w:rPr>
      </w:pPr>
      <w:r w:rsidRPr="005825D4">
        <w:rPr>
          <w:i/>
          <w:sz w:val="22"/>
          <w:lang w:val="en-ZA"/>
        </w:rPr>
        <w:t>(b)</w:t>
      </w:r>
      <w:r w:rsidRPr="005825D4">
        <w:rPr>
          <w:sz w:val="22"/>
          <w:lang w:val="en-ZA"/>
        </w:rPr>
        <w:t xml:space="preserve"> may make any order that is just and equitable, including -</w:t>
      </w:r>
    </w:p>
    <w:p w:rsidR="00AE7B0B" w:rsidRPr="005825D4" w:rsidRDefault="00AE7B0B" w:rsidP="00A722C4">
      <w:pPr>
        <w:spacing w:line="360" w:lineRule="auto"/>
        <w:rPr>
          <w:sz w:val="22"/>
          <w:lang w:val="en-ZA"/>
        </w:rPr>
      </w:pPr>
      <w:r w:rsidRPr="005825D4">
        <w:rPr>
          <w:sz w:val="22"/>
          <w:lang w:val="en-ZA"/>
        </w:rPr>
        <w:tab/>
        <w:t xml:space="preserve">(i) an order limiting the retrospective effect of the declaration of invalidity; </w:t>
      </w:r>
      <w:r w:rsidR="002C5C9A" w:rsidRPr="005825D4">
        <w:rPr>
          <w:sz w:val="22"/>
          <w:lang w:val="en-ZA"/>
        </w:rPr>
        <w:t>and</w:t>
      </w:r>
    </w:p>
    <w:p w:rsidR="00AE7B0B" w:rsidRPr="005825D4" w:rsidRDefault="00AE7B0B" w:rsidP="00A722C4">
      <w:pPr>
        <w:spacing w:line="360" w:lineRule="auto"/>
        <w:ind w:left="720"/>
        <w:rPr>
          <w:sz w:val="22"/>
          <w:lang w:val="en-ZA"/>
        </w:rPr>
      </w:pPr>
      <w:r w:rsidRPr="005825D4">
        <w:rPr>
          <w:sz w:val="22"/>
          <w:lang w:val="en-ZA"/>
        </w:rPr>
        <w:t>(ii) an order suspending the declaration of invalidity for any period and on any conditions, to allow the competent authority to correct the defect.’</w:t>
      </w:r>
    </w:p>
    <w:p w:rsidR="00743923" w:rsidRPr="005825D4" w:rsidRDefault="00743923" w:rsidP="00A722C4">
      <w:pPr>
        <w:spacing w:line="360" w:lineRule="auto"/>
        <w:rPr>
          <w:lang w:val="en-ZA"/>
        </w:rPr>
      </w:pPr>
    </w:p>
    <w:p w:rsidR="00AE7B0B" w:rsidRPr="005825D4" w:rsidRDefault="00647D82" w:rsidP="00A722C4">
      <w:pPr>
        <w:spacing w:line="360" w:lineRule="auto"/>
        <w:rPr>
          <w:lang w:val="en-ZA"/>
        </w:rPr>
      </w:pPr>
      <w:r w:rsidRPr="005825D4">
        <w:rPr>
          <w:lang w:val="en-ZA"/>
        </w:rPr>
        <w:t>[</w:t>
      </w:r>
      <w:r w:rsidR="001A5364" w:rsidRPr="005825D4">
        <w:rPr>
          <w:lang w:val="en-ZA"/>
        </w:rPr>
        <w:t>90</w:t>
      </w:r>
      <w:r w:rsidR="00AE7B0B" w:rsidRPr="005825D4">
        <w:rPr>
          <w:lang w:val="en-ZA"/>
        </w:rPr>
        <w:t>]</w:t>
      </w:r>
      <w:r w:rsidR="00AE7B0B" w:rsidRPr="005825D4">
        <w:rPr>
          <w:lang w:val="en-ZA"/>
        </w:rPr>
        <w:tab/>
        <w:t xml:space="preserve">In </w:t>
      </w:r>
      <w:r w:rsidR="00AE7B0B" w:rsidRPr="005825D4">
        <w:rPr>
          <w:i/>
          <w:lang w:val="en-ZA"/>
        </w:rPr>
        <w:t>Islamic Unity</w:t>
      </w:r>
      <w:r w:rsidR="00AE7B0B" w:rsidRPr="005825D4">
        <w:rPr>
          <w:lang w:val="en-ZA"/>
        </w:rPr>
        <w:t xml:space="preserve">, the </w:t>
      </w:r>
      <w:r w:rsidR="00FB0A3F" w:rsidRPr="005825D4">
        <w:rPr>
          <w:lang w:val="en-ZA"/>
        </w:rPr>
        <w:t>Constitutional C</w:t>
      </w:r>
      <w:r w:rsidR="00AE7B0B" w:rsidRPr="005825D4">
        <w:rPr>
          <w:lang w:val="en-ZA"/>
        </w:rPr>
        <w:t xml:space="preserve">ourt taught that various considerations come into play in deciding on an appropriate order. </w:t>
      </w:r>
      <w:r w:rsidR="00772D52" w:rsidRPr="005825D4">
        <w:rPr>
          <w:lang w:val="en-ZA"/>
        </w:rPr>
        <w:t>It said the following at para 54:</w:t>
      </w:r>
    </w:p>
    <w:p w:rsidR="00772D52" w:rsidRPr="005825D4" w:rsidRDefault="00772D52" w:rsidP="00A722C4">
      <w:pPr>
        <w:spacing w:line="360" w:lineRule="auto"/>
        <w:rPr>
          <w:sz w:val="22"/>
          <w:lang w:val="en-ZA"/>
        </w:rPr>
      </w:pPr>
      <w:r w:rsidRPr="005825D4">
        <w:rPr>
          <w:sz w:val="22"/>
          <w:lang w:val="en-ZA"/>
        </w:rPr>
        <w:t xml:space="preserve">‘On the one hand, there is recognition of the importance of regulation in the public interest. The implications of striking down the impugned provision for government and for the public interest </w:t>
      </w:r>
      <w:r w:rsidRPr="005825D4">
        <w:rPr>
          <w:sz w:val="22"/>
          <w:lang w:val="en-ZA"/>
        </w:rPr>
        <w:lastRenderedPageBreak/>
        <w:t>must be assessed, as well as the time it will take for Parliament to come up with new legislation. On the other hand, there is the need for this Court to fulfil a judicial and not a legislative role, while at the same time ensuring that as far as possible the relief protects freedom of expression as enshrined in the Constitution.’</w:t>
      </w:r>
    </w:p>
    <w:p w:rsidR="00772D52" w:rsidRPr="005825D4" w:rsidRDefault="00772D52" w:rsidP="00A722C4">
      <w:pPr>
        <w:spacing w:line="360" w:lineRule="auto"/>
        <w:rPr>
          <w:sz w:val="22"/>
          <w:lang w:val="en-ZA"/>
        </w:rPr>
      </w:pPr>
    </w:p>
    <w:p w:rsidR="009252A1" w:rsidRPr="005825D4" w:rsidRDefault="001A5364" w:rsidP="00A722C4">
      <w:pPr>
        <w:spacing w:line="360" w:lineRule="auto"/>
        <w:rPr>
          <w:lang w:val="en-ZA"/>
        </w:rPr>
      </w:pPr>
      <w:r w:rsidRPr="005825D4">
        <w:rPr>
          <w:lang w:val="en-ZA"/>
        </w:rPr>
        <w:t>[91</w:t>
      </w:r>
      <w:r w:rsidR="00FB0A3F" w:rsidRPr="005825D4">
        <w:rPr>
          <w:lang w:val="en-ZA"/>
        </w:rPr>
        <w:t>]</w:t>
      </w:r>
      <w:r w:rsidR="00FB0A3F" w:rsidRPr="005825D4">
        <w:rPr>
          <w:lang w:val="en-ZA"/>
        </w:rPr>
        <w:tab/>
        <w:t>In that case the Constitutional C</w:t>
      </w:r>
      <w:r w:rsidR="00772D52" w:rsidRPr="005825D4">
        <w:rPr>
          <w:lang w:val="en-ZA"/>
        </w:rPr>
        <w:t>ourt considered various forms of relief, including severance, notional severance and the striking down of the relevant portion of clause 2</w:t>
      </w:r>
      <w:r w:rsidR="00772D52" w:rsidRPr="005825D4">
        <w:rPr>
          <w:i/>
          <w:lang w:val="en-ZA"/>
        </w:rPr>
        <w:t>(a)</w:t>
      </w:r>
      <w:r w:rsidR="00772D52" w:rsidRPr="005825D4">
        <w:rPr>
          <w:lang w:val="en-ZA"/>
        </w:rPr>
        <w:t xml:space="preserve"> of the Code, with nothing in its place. It also had regard to the suggestion of a declaration of invalidity for a specific period to enable Parliament to enact appropriate legislation. The court was concerned that if the clause was struck down in its entirety, with nothing to replace it, a dangerous gap would r</w:t>
      </w:r>
      <w:r w:rsidR="00AB4E78" w:rsidRPr="005825D4">
        <w:rPr>
          <w:lang w:val="en-ZA"/>
        </w:rPr>
        <w:t>esult and held that it was not in the public interest to do so. In that case it urged the government to attend to the matter with some urgency</w:t>
      </w:r>
      <w:r w:rsidR="00835590" w:rsidRPr="005825D4">
        <w:rPr>
          <w:lang w:val="en-ZA"/>
        </w:rPr>
        <w:t>,</w:t>
      </w:r>
      <w:r w:rsidR="00AB4E78" w:rsidRPr="005825D4">
        <w:rPr>
          <w:lang w:val="en-ZA"/>
        </w:rPr>
        <w:t xml:space="preserve"> in order for it to fulfil its constitutional mandate.</w:t>
      </w:r>
      <w:r w:rsidR="009252A1" w:rsidRPr="005825D4">
        <w:rPr>
          <w:lang w:val="en-ZA"/>
        </w:rPr>
        <w:t xml:space="preserve"> At para 57 of </w:t>
      </w:r>
      <w:r w:rsidR="009252A1" w:rsidRPr="005825D4">
        <w:rPr>
          <w:i/>
          <w:lang w:val="en-ZA"/>
        </w:rPr>
        <w:t>Islamic Unity</w:t>
      </w:r>
      <w:r w:rsidR="009252A1" w:rsidRPr="005825D4">
        <w:rPr>
          <w:lang w:val="en-ZA"/>
        </w:rPr>
        <w:t>, Langa DCJ said the following:</w:t>
      </w:r>
    </w:p>
    <w:p w:rsidR="009252A1" w:rsidRPr="005825D4" w:rsidRDefault="009252A1" w:rsidP="00A722C4">
      <w:pPr>
        <w:spacing w:line="360" w:lineRule="auto"/>
        <w:rPr>
          <w:sz w:val="22"/>
          <w:lang w:val="en-ZA"/>
        </w:rPr>
      </w:pPr>
      <w:r w:rsidRPr="005825D4">
        <w:rPr>
          <w:sz w:val="22"/>
          <w:lang w:val="en-ZA"/>
        </w:rPr>
        <w:t>‘I consider that an order which is just and equitable would be a notional severance formulated so as to ensure that the relevant part of clause 2</w:t>
      </w:r>
      <w:r w:rsidRPr="005825D4">
        <w:rPr>
          <w:i/>
          <w:sz w:val="22"/>
          <w:lang w:val="en-ZA"/>
        </w:rPr>
        <w:t>(a)</w:t>
      </w:r>
      <w:r w:rsidRPr="005825D4">
        <w:rPr>
          <w:sz w:val="22"/>
          <w:lang w:val="en-ZA"/>
        </w:rPr>
        <w:t xml:space="preserve"> is rendered ineffective in its application to protected expression, but that a prohibition is left in place to prevent the broadcasting of unprotected expression as referred to in s 16(2) of the Constitution. Such an approach would meet the concerns of the applicant, address the legitimate concerns raised by the Board about protecting people’s dignity and the values of equality and national unity, while at the same time ensuring that the requirements of the Constitution are met. It will be open to the Legislature to decide to keep regulation at this minimal level or to regulate further subject to the provisions of </w:t>
      </w:r>
      <w:r w:rsidR="00AD4C30" w:rsidRPr="005825D4">
        <w:rPr>
          <w:sz w:val="22"/>
          <w:lang w:val="en-ZA"/>
        </w:rPr>
        <w:t>s </w:t>
      </w:r>
      <w:r w:rsidRPr="005825D4">
        <w:rPr>
          <w:sz w:val="22"/>
          <w:lang w:val="en-ZA"/>
        </w:rPr>
        <w:t>36(1).’</w:t>
      </w:r>
    </w:p>
    <w:p w:rsidR="00D20420" w:rsidRPr="005825D4" w:rsidRDefault="00D20420" w:rsidP="00A722C4">
      <w:pPr>
        <w:spacing w:line="360" w:lineRule="auto"/>
        <w:rPr>
          <w:lang w:val="en-ZA"/>
        </w:rPr>
      </w:pPr>
      <w:r w:rsidRPr="005825D4">
        <w:rPr>
          <w:lang w:val="en-ZA"/>
        </w:rPr>
        <w:t>What follows is the relevant part of the order in that case:</w:t>
      </w:r>
    </w:p>
    <w:p w:rsidR="00D20420" w:rsidRPr="005825D4" w:rsidRDefault="00D20420" w:rsidP="00A722C4">
      <w:pPr>
        <w:spacing w:line="360" w:lineRule="auto"/>
        <w:rPr>
          <w:sz w:val="22"/>
          <w:lang w:val="en-ZA"/>
        </w:rPr>
      </w:pPr>
      <w:r w:rsidRPr="005825D4">
        <w:rPr>
          <w:sz w:val="22"/>
          <w:lang w:val="en-ZA"/>
        </w:rPr>
        <w:t xml:space="preserve"> </w:t>
      </w:r>
    </w:p>
    <w:p w:rsidR="00D20420" w:rsidRPr="005825D4" w:rsidRDefault="00E865A0" w:rsidP="00A722C4">
      <w:pPr>
        <w:spacing w:line="360" w:lineRule="auto"/>
        <w:rPr>
          <w:sz w:val="22"/>
          <w:lang w:val="en-ZA"/>
        </w:rPr>
      </w:pPr>
      <w:r w:rsidRPr="005825D4">
        <w:rPr>
          <w:sz w:val="22"/>
          <w:lang w:val="en-ZA"/>
        </w:rPr>
        <w:t>‘</w:t>
      </w:r>
      <w:r w:rsidR="00D20420" w:rsidRPr="005825D4">
        <w:rPr>
          <w:sz w:val="22"/>
          <w:lang w:val="en-ZA"/>
        </w:rPr>
        <w:t>3. The decision of the Witwatersrand High Court declining to consider the issue of the constitutionality of clause 2</w:t>
      </w:r>
      <w:r w:rsidR="00D20420" w:rsidRPr="005825D4">
        <w:rPr>
          <w:i/>
          <w:sz w:val="22"/>
          <w:lang w:val="en-ZA"/>
        </w:rPr>
        <w:t>(a)</w:t>
      </w:r>
      <w:r w:rsidR="00D20420" w:rsidRPr="005825D4">
        <w:rPr>
          <w:sz w:val="22"/>
          <w:lang w:val="en-ZA"/>
        </w:rPr>
        <w:t xml:space="preserve"> of the Code of Conduct for Broadcasting Services as contained in Schedule 1 to the Independent Broadcasting Authority Act 153 of 1993 is hereby set aside.</w:t>
      </w:r>
    </w:p>
    <w:p w:rsidR="00D20420" w:rsidRPr="005825D4" w:rsidRDefault="00D20420" w:rsidP="00A722C4">
      <w:pPr>
        <w:spacing w:line="360" w:lineRule="auto"/>
        <w:rPr>
          <w:sz w:val="22"/>
          <w:lang w:val="en-ZA"/>
        </w:rPr>
      </w:pPr>
      <w:r w:rsidRPr="005825D4">
        <w:rPr>
          <w:sz w:val="22"/>
          <w:lang w:val="en-ZA"/>
        </w:rPr>
        <w:t>4. Clause 2</w:t>
      </w:r>
      <w:r w:rsidRPr="005825D4">
        <w:rPr>
          <w:i/>
          <w:sz w:val="22"/>
          <w:lang w:val="en-ZA"/>
        </w:rPr>
        <w:t>(a)</w:t>
      </w:r>
      <w:r w:rsidRPr="005825D4">
        <w:rPr>
          <w:sz w:val="22"/>
          <w:lang w:val="en-ZA"/>
        </w:rPr>
        <w:t xml:space="preserve"> of the said Code of Conduct for Broadcasting Services is declared to be inconsistent with s 16 of the Constitution and invalid to the extent that it prohibits the broadcasting of material that is “likely to prejudice relations between sections of the population”; provide</w:t>
      </w:r>
      <w:r w:rsidR="002C5C9A" w:rsidRPr="005825D4">
        <w:rPr>
          <w:sz w:val="22"/>
          <w:lang w:val="en-ZA"/>
        </w:rPr>
        <w:t>d</w:t>
      </w:r>
      <w:r w:rsidRPr="005825D4">
        <w:rPr>
          <w:sz w:val="22"/>
          <w:lang w:val="en-ZA"/>
        </w:rPr>
        <w:t xml:space="preserve"> that this order does not apply to (i) propaganda for war; (ii) incitement of imminent violence; or (iii) advocacy of hatred that is based on race, ethnicity, gender or religion, and that constitutes incitement to cause harm</w:t>
      </w:r>
      <w:r w:rsidR="00232822" w:rsidRPr="005825D4">
        <w:rPr>
          <w:sz w:val="22"/>
          <w:lang w:val="en-ZA"/>
        </w:rPr>
        <w:t>.</w:t>
      </w:r>
      <w:r w:rsidRPr="005825D4">
        <w:rPr>
          <w:sz w:val="22"/>
          <w:lang w:val="en-ZA"/>
        </w:rPr>
        <w:t>’</w:t>
      </w:r>
    </w:p>
    <w:p w:rsidR="00D20420" w:rsidRPr="005825D4" w:rsidRDefault="00D20420" w:rsidP="00A722C4">
      <w:pPr>
        <w:spacing w:line="360" w:lineRule="auto"/>
        <w:rPr>
          <w:lang w:val="en-ZA"/>
        </w:rPr>
      </w:pPr>
    </w:p>
    <w:p w:rsidR="00A63CCB" w:rsidRPr="005825D4" w:rsidRDefault="001A5364" w:rsidP="00A722C4">
      <w:pPr>
        <w:spacing w:line="360" w:lineRule="auto"/>
        <w:rPr>
          <w:lang w:val="en-ZA"/>
        </w:rPr>
      </w:pPr>
      <w:r w:rsidRPr="005825D4">
        <w:rPr>
          <w:lang w:val="en-ZA"/>
        </w:rPr>
        <w:t>[92</w:t>
      </w:r>
      <w:r w:rsidR="009252A1" w:rsidRPr="005825D4">
        <w:rPr>
          <w:lang w:val="en-ZA"/>
        </w:rPr>
        <w:t>]</w:t>
      </w:r>
      <w:r w:rsidR="009252A1" w:rsidRPr="005825D4">
        <w:rPr>
          <w:lang w:val="en-ZA"/>
        </w:rPr>
        <w:tab/>
      </w:r>
      <w:r w:rsidR="008E5992" w:rsidRPr="005825D4">
        <w:rPr>
          <w:lang w:val="en-ZA"/>
        </w:rPr>
        <w:t xml:space="preserve">In engaging in severance and/or reading-in the court must be astute to </w:t>
      </w:r>
      <w:r w:rsidR="00CD6879" w:rsidRPr="005825D4">
        <w:rPr>
          <w:lang w:val="en-ZA"/>
        </w:rPr>
        <w:t xml:space="preserve">ensure that the result </w:t>
      </w:r>
      <w:r w:rsidR="008E5992" w:rsidRPr="005825D4">
        <w:rPr>
          <w:lang w:val="en-ZA"/>
        </w:rPr>
        <w:t>is sufficiently precise so as to ‘</w:t>
      </w:r>
      <w:r w:rsidR="00707979" w:rsidRPr="005825D4">
        <w:rPr>
          <w:lang w:val="en-ZA"/>
        </w:rPr>
        <w:t>impair the legislative purpose as little as possible while removing the constitutional complaint’.</w:t>
      </w:r>
      <w:r w:rsidR="00707979" w:rsidRPr="005825D4">
        <w:rPr>
          <w:rStyle w:val="FootnoteReference"/>
          <w:lang w:val="en-ZA"/>
        </w:rPr>
        <w:footnoteReference w:id="66"/>
      </w:r>
      <w:r w:rsidR="00707979" w:rsidRPr="005825D4">
        <w:rPr>
          <w:lang w:val="en-ZA"/>
        </w:rPr>
        <w:t xml:space="preserve"> </w:t>
      </w:r>
      <w:r w:rsidR="009252A1" w:rsidRPr="005825D4">
        <w:rPr>
          <w:lang w:val="en-ZA"/>
        </w:rPr>
        <w:t>In the present case</w:t>
      </w:r>
      <w:r w:rsidR="00060AA5" w:rsidRPr="005825D4">
        <w:rPr>
          <w:lang w:val="en-ZA"/>
        </w:rPr>
        <w:t xml:space="preserve"> it appears to me to be desirable to keep in place a form of redress through the informal, less costly, process of proceedings in the equality court for vulnerable groups,</w:t>
      </w:r>
      <w:r w:rsidR="006B0641" w:rsidRPr="005825D4">
        <w:rPr>
          <w:rStyle w:val="FootnoteReference"/>
          <w:lang w:val="en-ZA"/>
        </w:rPr>
        <w:footnoteReference w:id="67"/>
      </w:r>
      <w:r w:rsidR="00060AA5" w:rsidRPr="005825D4">
        <w:rPr>
          <w:lang w:val="en-ZA"/>
        </w:rPr>
        <w:t xml:space="preserve"> </w:t>
      </w:r>
      <w:r w:rsidR="00E02996" w:rsidRPr="005825D4">
        <w:rPr>
          <w:lang w:val="en-ZA"/>
        </w:rPr>
        <w:t>whilst staying within the constraints of the Constitution</w:t>
      </w:r>
      <w:r w:rsidR="00060AA5" w:rsidRPr="005825D4">
        <w:rPr>
          <w:lang w:val="en-ZA"/>
        </w:rPr>
        <w:t>. This will involve not only severance in relation to provisions of s 10(1) of PEPUDA, but also a reading-in of provisions in line with s 16(2)</w:t>
      </w:r>
      <w:r w:rsidR="00060AA5" w:rsidRPr="005825D4">
        <w:rPr>
          <w:i/>
          <w:lang w:val="en-ZA"/>
        </w:rPr>
        <w:t>(c)</w:t>
      </w:r>
      <w:r w:rsidR="007B59B5" w:rsidRPr="005825D4">
        <w:rPr>
          <w:lang w:val="en-ZA"/>
        </w:rPr>
        <w:t xml:space="preserve"> of the Constitution</w:t>
      </w:r>
      <w:r w:rsidR="00060AA5" w:rsidRPr="005825D4">
        <w:rPr>
          <w:lang w:val="en-ZA"/>
        </w:rPr>
        <w:t>.</w:t>
      </w:r>
      <w:r w:rsidR="007B59B5" w:rsidRPr="005825D4">
        <w:rPr>
          <w:lang w:val="en-ZA"/>
        </w:rPr>
        <w:t xml:space="preserve"> So, too, the consequent s 10(2) of PEPUDA</w:t>
      </w:r>
      <w:r w:rsidR="008D5F87" w:rsidRPr="005825D4">
        <w:rPr>
          <w:lang w:val="en-ZA"/>
        </w:rPr>
        <w:t xml:space="preserve"> requires concomitant retailoring</w:t>
      </w:r>
      <w:r w:rsidR="007B59B5" w:rsidRPr="005825D4">
        <w:rPr>
          <w:lang w:val="en-ZA"/>
        </w:rPr>
        <w:t>.</w:t>
      </w:r>
      <w:r w:rsidR="00A63CCB" w:rsidRPr="005825D4">
        <w:rPr>
          <w:lang w:val="en-ZA"/>
        </w:rPr>
        <w:t xml:space="preserve"> One </w:t>
      </w:r>
      <w:r w:rsidR="00060AA5" w:rsidRPr="005825D4">
        <w:rPr>
          <w:lang w:val="en-ZA"/>
        </w:rPr>
        <w:t xml:space="preserve">can hardly argue that the legislature was not intent on ensuring at least the minimum protection by way of limitation of free expression in the terms set out in </w:t>
      </w:r>
      <w:r w:rsidR="00AD4C30" w:rsidRPr="005825D4">
        <w:rPr>
          <w:lang w:val="en-ZA"/>
        </w:rPr>
        <w:t>s </w:t>
      </w:r>
      <w:r w:rsidR="00060AA5" w:rsidRPr="005825D4">
        <w:rPr>
          <w:lang w:val="en-ZA"/>
        </w:rPr>
        <w:t>16(2)</w:t>
      </w:r>
      <w:r w:rsidR="00060AA5" w:rsidRPr="005825D4">
        <w:rPr>
          <w:i/>
          <w:lang w:val="en-ZA"/>
        </w:rPr>
        <w:t>(c)</w:t>
      </w:r>
      <w:r w:rsidR="00E02996" w:rsidRPr="005825D4">
        <w:rPr>
          <w:lang w:val="en-ZA"/>
        </w:rPr>
        <w:t xml:space="preserve"> and that </w:t>
      </w:r>
      <w:r w:rsidR="00A63CCB" w:rsidRPr="005825D4">
        <w:rPr>
          <w:lang w:val="en-ZA"/>
        </w:rPr>
        <w:t>would be</w:t>
      </w:r>
      <w:r w:rsidR="00E02996" w:rsidRPr="005825D4">
        <w:rPr>
          <w:lang w:val="en-ZA"/>
        </w:rPr>
        <w:t xml:space="preserve"> in keeping with the framework of PEPUDA </w:t>
      </w:r>
      <w:r w:rsidR="006B0641" w:rsidRPr="005825D4">
        <w:rPr>
          <w:lang w:val="en-ZA"/>
        </w:rPr>
        <w:t xml:space="preserve">the object of which </w:t>
      </w:r>
      <w:r w:rsidR="00E02996" w:rsidRPr="005825D4">
        <w:rPr>
          <w:lang w:val="en-ZA"/>
        </w:rPr>
        <w:t>is to promote equality and regulate hate speech</w:t>
      </w:r>
      <w:r w:rsidR="00060AA5" w:rsidRPr="005825D4">
        <w:rPr>
          <w:lang w:val="en-ZA"/>
        </w:rPr>
        <w:t>.</w:t>
      </w:r>
      <w:r w:rsidR="006132E5" w:rsidRPr="005825D4">
        <w:rPr>
          <w:lang w:val="en-ZA"/>
        </w:rPr>
        <w:t xml:space="preserve"> </w:t>
      </w:r>
    </w:p>
    <w:p w:rsidR="00A63CCB" w:rsidRPr="005825D4" w:rsidRDefault="00A63CCB" w:rsidP="00A722C4">
      <w:pPr>
        <w:spacing w:line="360" w:lineRule="auto"/>
        <w:rPr>
          <w:lang w:val="en-ZA"/>
        </w:rPr>
      </w:pPr>
    </w:p>
    <w:p w:rsidR="009252A1" w:rsidRPr="005825D4" w:rsidRDefault="001A5364" w:rsidP="00A722C4">
      <w:pPr>
        <w:spacing w:line="360" w:lineRule="auto"/>
        <w:rPr>
          <w:lang w:val="en-ZA"/>
        </w:rPr>
      </w:pPr>
      <w:r w:rsidRPr="005825D4">
        <w:rPr>
          <w:lang w:val="en-ZA"/>
        </w:rPr>
        <w:t>[93</w:t>
      </w:r>
      <w:r w:rsidR="00A63CCB" w:rsidRPr="005825D4">
        <w:rPr>
          <w:lang w:val="en-ZA"/>
        </w:rPr>
        <w:t>]</w:t>
      </w:r>
      <w:r w:rsidR="00A63CCB" w:rsidRPr="005825D4">
        <w:rPr>
          <w:lang w:val="en-ZA"/>
        </w:rPr>
        <w:tab/>
      </w:r>
      <w:r w:rsidR="00A400BE" w:rsidRPr="005825D4">
        <w:rPr>
          <w:lang w:val="en-ZA"/>
        </w:rPr>
        <w:t>As stated earlier, i</w:t>
      </w:r>
      <w:r w:rsidR="00060AA5" w:rsidRPr="005825D4">
        <w:rPr>
          <w:lang w:val="en-ZA"/>
        </w:rPr>
        <w:t>t is clear that the legislature intended widening the protection</w:t>
      </w:r>
      <w:r w:rsidR="00835590" w:rsidRPr="005825D4">
        <w:rPr>
          <w:lang w:val="en-ZA"/>
        </w:rPr>
        <w:t xml:space="preserve"> against hate speech</w:t>
      </w:r>
      <w:r w:rsidR="00060AA5" w:rsidRPr="005825D4">
        <w:rPr>
          <w:lang w:val="en-ZA"/>
        </w:rPr>
        <w:t xml:space="preserve">, even though it did so in constitutionally impermissible terms. It should be afforded an opportunity to broaden the protection in terms consonant with the Constitution. </w:t>
      </w:r>
      <w:r w:rsidR="006132E5" w:rsidRPr="005825D4">
        <w:rPr>
          <w:lang w:val="en-ZA"/>
        </w:rPr>
        <w:t xml:space="preserve">It appears to me to be necessary to provide for an interim measure pending the finalisation of the legislative process, </w:t>
      </w:r>
      <w:r w:rsidR="006A3568" w:rsidRPr="005825D4">
        <w:rPr>
          <w:lang w:val="en-ZA"/>
        </w:rPr>
        <w:t>which already appears</w:t>
      </w:r>
      <w:r w:rsidR="006132E5" w:rsidRPr="005825D4">
        <w:rPr>
          <w:lang w:val="en-ZA"/>
        </w:rPr>
        <w:t xml:space="preserve"> by way of the Bill referred to above </w:t>
      </w:r>
      <w:r w:rsidR="006A3568" w:rsidRPr="005825D4">
        <w:rPr>
          <w:lang w:val="en-ZA"/>
        </w:rPr>
        <w:t xml:space="preserve">to have commenced, or by way of </w:t>
      </w:r>
      <w:r w:rsidR="006132E5" w:rsidRPr="005825D4">
        <w:rPr>
          <w:lang w:val="en-ZA"/>
        </w:rPr>
        <w:t>an amendment to s 10</w:t>
      </w:r>
      <w:r w:rsidR="00E02996" w:rsidRPr="005825D4">
        <w:rPr>
          <w:lang w:val="en-ZA"/>
        </w:rPr>
        <w:t>(1)</w:t>
      </w:r>
      <w:r w:rsidR="006132E5" w:rsidRPr="005825D4">
        <w:rPr>
          <w:lang w:val="en-ZA"/>
        </w:rPr>
        <w:t xml:space="preserve"> of PEPUDA.</w:t>
      </w:r>
      <w:r w:rsidR="006132E5" w:rsidRPr="005825D4">
        <w:rPr>
          <w:rStyle w:val="FootnoteReference"/>
          <w:lang w:val="en-ZA"/>
        </w:rPr>
        <w:footnoteReference w:id="68"/>
      </w:r>
    </w:p>
    <w:p w:rsidR="007E0534" w:rsidRPr="005825D4" w:rsidRDefault="007E0534" w:rsidP="00A722C4">
      <w:pPr>
        <w:spacing w:line="360" w:lineRule="auto"/>
        <w:rPr>
          <w:lang w:val="en-ZA"/>
        </w:rPr>
      </w:pPr>
    </w:p>
    <w:p w:rsidR="008D5F87" w:rsidRPr="005825D4" w:rsidRDefault="001A5364" w:rsidP="00A722C4">
      <w:pPr>
        <w:spacing w:line="360" w:lineRule="auto"/>
        <w:rPr>
          <w:lang w:val="en-ZA"/>
        </w:rPr>
      </w:pPr>
      <w:r w:rsidRPr="005825D4">
        <w:rPr>
          <w:lang w:val="en-ZA"/>
        </w:rPr>
        <w:t>[94</w:t>
      </w:r>
      <w:r w:rsidR="008D5F87" w:rsidRPr="005825D4">
        <w:rPr>
          <w:lang w:val="en-ZA"/>
        </w:rPr>
        <w:t>]</w:t>
      </w:r>
      <w:r w:rsidR="008D5F87" w:rsidRPr="005825D4">
        <w:rPr>
          <w:lang w:val="en-ZA"/>
        </w:rPr>
        <w:tab/>
        <w:t xml:space="preserve">I am not unmindful of the threat to life, limb and psyche that members of the LGBTI community face. I will take care in crafting a remedy to ensure that they are not left without </w:t>
      </w:r>
      <w:r w:rsidR="008D5F87" w:rsidRPr="005825D4">
        <w:rPr>
          <w:lang w:val="en-ZA"/>
        </w:rPr>
        <w:lastRenderedPageBreak/>
        <w:t>recourse. It must be emphasised that in</w:t>
      </w:r>
      <w:r w:rsidR="00AD5052" w:rsidRPr="005825D4">
        <w:rPr>
          <w:lang w:val="en-ZA"/>
        </w:rPr>
        <w:t xml:space="preserve"> crafting a remedy that will pro</w:t>
      </w:r>
      <w:r w:rsidR="008D5F87" w:rsidRPr="005825D4">
        <w:rPr>
          <w:lang w:val="en-ZA"/>
        </w:rPr>
        <w:t xml:space="preserve">tect vulnerable groupings against the dreadful consequences of hate speech, care must be taken to ensure </w:t>
      </w:r>
      <w:r w:rsidR="00AD5052" w:rsidRPr="005825D4">
        <w:rPr>
          <w:lang w:val="en-ZA"/>
        </w:rPr>
        <w:t xml:space="preserve">that it </w:t>
      </w:r>
      <w:r w:rsidR="008D5F87" w:rsidRPr="005825D4">
        <w:rPr>
          <w:lang w:val="en-ZA"/>
        </w:rPr>
        <w:t>is tailored to meet constitutional prescripts.</w:t>
      </w:r>
      <w:r w:rsidR="0007435C" w:rsidRPr="005825D4">
        <w:rPr>
          <w:lang w:val="en-ZA"/>
        </w:rPr>
        <w:t xml:space="preserve"> </w:t>
      </w:r>
    </w:p>
    <w:p w:rsidR="008D5F87" w:rsidRPr="005825D4" w:rsidRDefault="008D5F87" w:rsidP="00A722C4">
      <w:pPr>
        <w:spacing w:line="360" w:lineRule="auto"/>
        <w:rPr>
          <w:lang w:val="en-ZA"/>
        </w:rPr>
      </w:pPr>
    </w:p>
    <w:p w:rsidR="007E0534" w:rsidRPr="005825D4" w:rsidRDefault="007323EC" w:rsidP="00A722C4">
      <w:pPr>
        <w:spacing w:line="360" w:lineRule="auto"/>
        <w:rPr>
          <w:lang w:val="en-ZA"/>
        </w:rPr>
      </w:pPr>
      <w:r w:rsidRPr="005825D4">
        <w:rPr>
          <w:lang w:val="en-ZA"/>
        </w:rPr>
        <w:t>[9</w:t>
      </w:r>
      <w:r w:rsidR="001A5364" w:rsidRPr="005825D4">
        <w:rPr>
          <w:lang w:val="en-ZA"/>
        </w:rPr>
        <w:t>5</w:t>
      </w:r>
      <w:r w:rsidR="007E0534" w:rsidRPr="005825D4">
        <w:rPr>
          <w:lang w:val="en-ZA"/>
        </w:rPr>
        <w:t>]</w:t>
      </w:r>
      <w:r w:rsidR="007E0534" w:rsidRPr="005825D4">
        <w:rPr>
          <w:lang w:val="en-ZA"/>
        </w:rPr>
        <w:tab/>
        <w:t>The effect of crafting an interim order pending the legislative process must mean that the finding of the equality court fa</w:t>
      </w:r>
      <w:r w:rsidR="00C22C51" w:rsidRPr="005825D4">
        <w:rPr>
          <w:lang w:val="en-ZA"/>
        </w:rPr>
        <w:t xml:space="preserve">lls to be set aside and that the HRC and the LGBTI community have to make </w:t>
      </w:r>
      <w:r w:rsidR="00E02996" w:rsidRPr="005825D4">
        <w:rPr>
          <w:lang w:val="en-ZA"/>
        </w:rPr>
        <w:t xml:space="preserve">further </w:t>
      </w:r>
      <w:r w:rsidR="00C22C51" w:rsidRPr="005825D4">
        <w:rPr>
          <w:lang w:val="en-ZA"/>
        </w:rPr>
        <w:t>choices in relation to dealing with the decade long complaint</w:t>
      </w:r>
      <w:r w:rsidR="00835590" w:rsidRPr="005825D4">
        <w:rPr>
          <w:lang w:val="en-ZA"/>
        </w:rPr>
        <w:t xml:space="preserve"> against Mr Qwelane</w:t>
      </w:r>
      <w:r w:rsidR="00C22C51" w:rsidRPr="005825D4">
        <w:rPr>
          <w:lang w:val="en-ZA"/>
        </w:rPr>
        <w:t xml:space="preserve">. </w:t>
      </w:r>
      <w:r w:rsidR="00DA1CF8" w:rsidRPr="005825D4">
        <w:rPr>
          <w:lang w:val="en-ZA"/>
        </w:rPr>
        <w:t>The exercise of reading-in so as to provide an interim measure cannot, in terms of the fundamentals of the rule of</w:t>
      </w:r>
      <w:r w:rsidR="005E5C33" w:rsidRPr="005825D4">
        <w:rPr>
          <w:lang w:val="en-ZA"/>
        </w:rPr>
        <w:t xml:space="preserve"> law, have retrospective effect</w:t>
      </w:r>
      <w:r w:rsidR="00F367B2" w:rsidRPr="005825D4">
        <w:rPr>
          <w:lang w:val="en-ZA"/>
        </w:rPr>
        <w:t>.</w:t>
      </w:r>
      <w:r w:rsidR="005E5C33" w:rsidRPr="005825D4">
        <w:rPr>
          <w:lang w:val="en-ZA"/>
        </w:rPr>
        <w:t xml:space="preserve"> </w:t>
      </w:r>
      <w:r w:rsidR="00F367B2" w:rsidRPr="005825D4">
        <w:rPr>
          <w:lang w:val="en-ZA"/>
        </w:rPr>
        <w:t>A</w:t>
      </w:r>
      <w:r w:rsidR="005E5C33" w:rsidRPr="005825D4">
        <w:rPr>
          <w:lang w:val="en-ZA"/>
        </w:rPr>
        <w:t xml:space="preserve"> statutory </w:t>
      </w:r>
      <w:r w:rsidR="00F367B2" w:rsidRPr="005825D4">
        <w:rPr>
          <w:lang w:val="en-ZA"/>
        </w:rPr>
        <w:t>proscription is in place.</w:t>
      </w:r>
      <w:r w:rsidR="00777E97" w:rsidRPr="005825D4">
        <w:rPr>
          <w:rStyle w:val="FootnoteReference"/>
          <w:lang w:val="en-ZA"/>
        </w:rPr>
        <w:footnoteReference w:id="69"/>
      </w:r>
      <w:r w:rsidR="00F367B2" w:rsidRPr="005825D4">
        <w:rPr>
          <w:lang w:val="en-ZA"/>
        </w:rPr>
        <w:t xml:space="preserve"> It was not in that form when the article was published or the complaint adjudicated. In the Criminal Law sphere the rule against retrospectivity</w:t>
      </w:r>
      <w:r w:rsidR="00F3018A" w:rsidRPr="005825D4">
        <w:rPr>
          <w:lang w:val="en-ZA"/>
        </w:rPr>
        <w:t xml:space="preserve"> </w:t>
      </w:r>
      <w:r w:rsidR="00F367B2" w:rsidRPr="005825D4">
        <w:rPr>
          <w:lang w:val="en-ZA"/>
        </w:rPr>
        <w:t xml:space="preserve">is given effect to by the maxim, </w:t>
      </w:r>
      <w:r w:rsidR="00F367B2" w:rsidRPr="005825D4">
        <w:rPr>
          <w:i/>
          <w:lang w:val="en-ZA"/>
        </w:rPr>
        <w:t>nullum crimen sine lege</w:t>
      </w:r>
      <w:r w:rsidR="00F367B2" w:rsidRPr="005825D4">
        <w:rPr>
          <w:lang w:val="en-ZA"/>
        </w:rPr>
        <w:t>, which is an expression of the principle of legality, an incident of the rule of law. It also implicates the rule against retrospectivity.</w:t>
      </w:r>
      <w:r w:rsidR="00F367B2" w:rsidRPr="005825D4">
        <w:rPr>
          <w:rStyle w:val="FootnoteReference"/>
          <w:lang w:val="en-ZA"/>
        </w:rPr>
        <w:footnoteReference w:id="70"/>
      </w:r>
      <w:r w:rsidR="00DA1CF8" w:rsidRPr="005825D4">
        <w:rPr>
          <w:lang w:val="en-ZA"/>
        </w:rPr>
        <w:t xml:space="preserve"> </w:t>
      </w:r>
      <w:r w:rsidR="00433891" w:rsidRPr="005825D4">
        <w:rPr>
          <w:lang w:val="en-ZA"/>
        </w:rPr>
        <w:t xml:space="preserve">We were informed by counsel on </w:t>
      </w:r>
      <w:r w:rsidR="00DA1CF8" w:rsidRPr="005825D4">
        <w:rPr>
          <w:lang w:val="en-ZA"/>
        </w:rPr>
        <w:t>Mr Qwelane’s</w:t>
      </w:r>
      <w:r w:rsidR="00433891" w:rsidRPr="005825D4">
        <w:rPr>
          <w:lang w:val="en-ZA"/>
        </w:rPr>
        <w:t xml:space="preserve"> behalf that he was ailing. He had iconic status </w:t>
      </w:r>
      <w:r w:rsidR="002C3878" w:rsidRPr="005825D4">
        <w:rPr>
          <w:lang w:val="en-ZA"/>
        </w:rPr>
        <w:t>and fought hard against the divisions of the past. He might well want to consider</w:t>
      </w:r>
      <w:r w:rsidR="009E00CC" w:rsidRPr="005825D4">
        <w:rPr>
          <w:lang w:val="en-ZA"/>
        </w:rPr>
        <w:t xml:space="preserve"> </w:t>
      </w:r>
      <w:r w:rsidR="00E23217" w:rsidRPr="005825D4">
        <w:rPr>
          <w:lang w:val="en-ZA"/>
        </w:rPr>
        <w:t>that it is worth</w:t>
      </w:r>
      <w:r w:rsidR="002C3878" w:rsidRPr="005825D4">
        <w:rPr>
          <w:lang w:val="en-ZA"/>
        </w:rPr>
        <w:t xml:space="preserve"> preserving that legacy by seeking rapprochement</w:t>
      </w:r>
      <w:r w:rsidR="000F29D6" w:rsidRPr="005825D4">
        <w:rPr>
          <w:lang w:val="en-ZA"/>
        </w:rPr>
        <w:t xml:space="preserve">, even now. I urge him to do so. </w:t>
      </w:r>
      <w:r w:rsidR="00F126D9" w:rsidRPr="005825D4">
        <w:rPr>
          <w:lang w:val="en-ZA"/>
        </w:rPr>
        <w:t xml:space="preserve">We have to, in our beloved country, find a way in which to relate to each other more graciously. Even the most fleeting exposure to news items reveals how particularly in public discourse we disagree in the most disagreeable manner. Differences of opinion are often laced with vitriol. We should be allowed to be firm in our convictions and to differ on the basis of conscience. What we are not free to do is to infringe the rights of others and we certainly are not free to inflict physical or psychological harm on others. </w:t>
      </w:r>
    </w:p>
    <w:p w:rsidR="000F29D6" w:rsidRPr="005825D4" w:rsidRDefault="000F29D6" w:rsidP="00A722C4">
      <w:pPr>
        <w:spacing w:line="360" w:lineRule="auto"/>
        <w:rPr>
          <w:lang w:val="en-ZA"/>
        </w:rPr>
      </w:pPr>
    </w:p>
    <w:p w:rsidR="007323EC" w:rsidRPr="005825D4" w:rsidRDefault="00B01984" w:rsidP="00A722C4">
      <w:pPr>
        <w:spacing w:line="360" w:lineRule="auto"/>
        <w:rPr>
          <w:lang w:val="en-ZA"/>
        </w:rPr>
      </w:pPr>
      <w:r w:rsidRPr="005825D4">
        <w:rPr>
          <w:lang w:val="en-ZA"/>
        </w:rPr>
        <w:t>[9</w:t>
      </w:r>
      <w:r w:rsidR="001A5364" w:rsidRPr="005825D4">
        <w:rPr>
          <w:lang w:val="en-ZA"/>
        </w:rPr>
        <w:t>6</w:t>
      </w:r>
      <w:r w:rsidR="007323EC" w:rsidRPr="005825D4">
        <w:rPr>
          <w:lang w:val="en-ZA"/>
        </w:rPr>
        <w:t>]</w:t>
      </w:r>
      <w:r w:rsidR="007323EC" w:rsidRPr="005825D4">
        <w:rPr>
          <w:lang w:val="en-ZA"/>
        </w:rPr>
        <w:tab/>
      </w:r>
      <w:r w:rsidR="00874808" w:rsidRPr="005825D4">
        <w:rPr>
          <w:lang w:val="en-ZA"/>
        </w:rPr>
        <w:t>The following order is made:</w:t>
      </w:r>
    </w:p>
    <w:p w:rsidR="00562132" w:rsidRPr="005825D4" w:rsidRDefault="00562132" w:rsidP="00A722C4">
      <w:pPr>
        <w:spacing w:line="360" w:lineRule="auto"/>
        <w:rPr>
          <w:lang w:val="en-ZA"/>
        </w:rPr>
      </w:pPr>
      <w:r w:rsidRPr="005825D4">
        <w:rPr>
          <w:lang w:val="en-ZA"/>
        </w:rPr>
        <w:t>1 The appeal is upheld with costs.</w:t>
      </w:r>
    </w:p>
    <w:p w:rsidR="00562132" w:rsidRPr="005825D4" w:rsidRDefault="00562132" w:rsidP="00A722C4">
      <w:pPr>
        <w:spacing w:line="360" w:lineRule="auto"/>
        <w:rPr>
          <w:lang w:val="en-ZA"/>
        </w:rPr>
      </w:pPr>
      <w:r w:rsidRPr="005825D4">
        <w:rPr>
          <w:lang w:val="en-ZA"/>
        </w:rPr>
        <w:t>2 The order of Moshidi J is set aside and substituted as follows:</w:t>
      </w:r>
    </w:p>
    <w:p w:rsidR="00B11960" w:rsidRPr="005825D4" w:rsidRDefault="00B11960" w:rsidP="00B11960">
      <w:pPr>
        <w:spacing w:line="360" w:lineRule="auto"/>
        <w:rPr>
          <w:lang w:val="en-ZA"/>
        </w:rPr>
      </w:pPr>
      <w:r w:rsidRPr="005825D4">
        <w:rPr>
          <w:lang w:val="en-ZA"/>
        </w:rPr>
        <w:lastRenderedPageBreak/>
        <w:t>‘(a.) Section 10 of the Promotion of Equality and Prevention of Unfair Discrimination Act 4 of 2000 (PEPUDA) is declared to be inconsistent with the provisions of s 16</w:t>
      </w:r>
      <w:r w:rsidR="00F3071E" w:rsidRPr="005825D4">
        <w:rPr>
          <w:lang w:val="en-ZA"/>
        </w:rPr>
        <w:t xml:space="preserve"> </w:t>
      </w:r>
      <w:r w:rsidRPr="005825D4">
        <w:rPr>
          <w:lang w:val="en-ZA"/>
        </w:rPr>
        <w:t xml:space="preserve">of the Constitution and is therefore unconstitutional and invalid. </w:t>
      </w:r>
    </w:p>
    <w:p w:rsidR="00562132" w:rsidRPr="005825D4" w:rsidRDefault="00562132" w:rsidP="00A722C4">
      <w:pPr>
        <w:spacing w:line="360" w:lineRule="auto"/>
        <w:rPr>
          <w:lang w:val="en-ZA"/>
        </w:rPr>
      </w:pPr>
      <w:r w:rsidRPr="005825D4">
        <w:rPr>
          <w:lang w:val="en-ZA"/>
        </w:rPr>
        <w:t xml:space="preserve">(b.) The complaint by the South African Human Rights Commission against Mr Qwelane in terms of s 10 of PEPUDA is dismissed. </w:t>
      </w:r>
    </w:p>
    <w:p w:rsidR="00562132" w:rsidRPr="005825D4" w:rsidRDefault="00562132" w:rsidP="00A722C4">
      <w:pPr>
        <w:spacing w:line="360" w:lineRule="auto"/>
        <w:rPr>
          <w:lang w:val="en-ZA"/>
        </w:rPr>
      </w:pPr>
      <w:r w:rsidRPr="005825D4">
        <w:rPr>
          <w:lang w:val="en-ZA"/>
        </w:rPr>
        <w:t>(c.) Parliament is afforded a period of 18 (eighteen) months from 29 November 2019 to remedy the defect.</w:t>
      </w:r>
    </w:p>
    <w:p w:rsidR="00562132" w:rsidRPr="005825D4" w:rsidRDefault="00562132" w:rsidP="00A722C4">
      <w:pPr>
        <w:spacing w:line="360" w:lineRule="auto"/>
        <w:rPr>
          <w:lang w:val="en-ZA"/>
        </w:rPr>
      </w:pPr>
      <w:r w:rsidRPr="005825D4">
        <w:rPr>
          <w:lang w:val="en-ZA"/>
        </w:rPr>
        <w:t xml:space="preserve">(d.) During </w:t>
      </w:r>
      <w:r w:rsidR="00B11960" w:rsidRPr="005825D4">
        <w:rPr>
          <w:lang w:val="en-ZA"/>
        </w:rPr>
        <w:t>the aforesaid</w:t>
      </w:r>
      <w:r w:rsidRPr="005825D4">
        <w:rPr>
          <w:lang w:val="en-ZA"/>
        </w:rPr>
        <w:t xml:space="preserve"> period s 10 of PEPUDA shall read as follows:</w:t>
      </w:r>
    </w:p>
    <w:p w:rsidR="00562132" w:rsidRPr="005825D4" w:rsidRDefault="00562132" w:rsidP="00A722C4">
      <w:pPr>
        <w:spacing w:line="360" w:lineRule="auto"/>
        <w:ind w:left="720" w:hanging="720"/>
        <w:rPr>
          <w:lang w:val="en-ZA"/>
        </w:rPr>
      </w:pPr>
      <w:r w:rsidRPr="005825D4">
        <w:rPr>
          <w:lang w:val="en-ZA"/>
        </w:rPr>
        <w:t>“10(1)</w:t>
      </w:r>
      <w:r w:rsidRPr="005825D4">
        <w:rPr>
          <w:lang w:val="en-ZA"/>
        </w:rPr>
        <w:tab/>
        <w:t>No person may advocate hatred that is based on race, ethnicity, gender, religion or sexual orientation and that constitutes incitement to cause harm.</w:t>
      </w:r>
    </w:p>
    <w:p w:rsidR="00562132" w:rsidRPr="005825D4" w:rsidRDefault="00562132" w:rsidP="00A722C4">
      <w:pPr>
        <w:spacing w:line="360" w:lineRule="auto"/>
        <w:ind w:left="720" w:hanging="720"/>
        <w:rPr>
          <w:lang w:val="en-ZA"/>
        </w:rPr>
      </w:pPr>
      <w:r w:rsidRPr="005825D4">
        <w:rPr>
          <w:lang w:val="en-ZA"/>
        </w:rPr>
        <w:t>10(2)</w:t>
      </w:r>
      <w:r w:rsidRPr="005825D4">
        <w:rPr>
          <w:lang w:val="en-ZA"/>
        </w:rPr>
        <w:tab/>
        <w:t>Without prejudice to any remedies of a civil nature under this Act, the court may, in accordance with section 21(2)</w:t>
      </w:r>
      <w:r w:rsidRPr="005825D4">
        <w:rPr>
          <w:i/>
          <w:lang w:val="en-ZA"/>
        </w:rPr>
        <w:t>(n)</w:t>
      </w:r>
      <w:r w:rsidRPr="005825D4">
        <w:rPr>
          <w:lang w:val="en-ZA"/>
        </w:rPr>
        <w:t xml:space="preserve"> and where appropriate, refer any case dealing with the advocacy of hatred that is based on race, ethnicity, gender, religion or sexual orientation, and that constitutes incitement to cause harm, as contemplated in subsection (1), to the Director of Public Prosecutions having jurisdiction for the institution of criminal proceedings in terms of the common law or relevant legislation.”</w:t>
      </w:r>
    </w:p>
    <w:p w:rsidR="00562132" w:rsidRPr="005825D4" w:rsidRDefault="00562132" w:rsidP="00A722C4">
      <w:pPr>
        <w:spacing w:line="360" w:lineRule="auto"/>
        <w:rPr>
          <w:lang w:val="en-ZA"/>
        </w:rPr>
      </w:pPr>
      <w:r w:rsidRPr="005825D4">
        <w:rPr>
          <w:lang w:val="en-ZA"/>
        </w:rPr>
        <w:t>(e.) Section 10, in the form set out in para (d.), will fall away upon the coming into operation of a legislative amendment to s 10, or its repeal by a statute dealing with the regulation of hate speech. Should Parliament fail to effect such changes by the end of the period referred to in (c.) above, s 10 in the form set out in (d.) will become final.</w:t>
      </w:r>
    </w:p>
    <w:p w:rsidR="00562132" w:rsidRPr="00F3018A" w:rsidRDefault="00562132" w:rsidP="00A722C4">
      <w:pPr>
        <w:spacing w:line="360" w:lineRule="auto"/>
        <w:rPr>
          <w:lang w:val="en-ZA"/>
        </w:rPr>
      </w:pPr>
      <w:r w:rsidRPr="005825D4">
        <w:rPr>
          <w:lang w:val="en-ZA"/>
        </w:rPr>
        <w:t>(f.) This order is referred to the Constitutional Court in terms of s 172(2)</w:t>
      </w:r>
      <w:r w:rsidRPr="005825D4">
        <w:rPr>
          <w:i/>
          <w:lang w:val="en-ZA"/>
        </w:rPr>
        <w:t>(a)</w:t>
      </w:r>
      <w:r w:rsidRPr="005825D4">
        <w:rPr>
          <w:lang w:val="en-ZA"/>
        </w:rPr>
        <w:t xml:space="preserve"> of the Constitution for confirmation of the order of constitutional invalidity.’</w:t>
      </w:r>
    </w:p>
    <w:p w:rsidR="00D20420" w:rsidRDefault="00D20420" w:rsidP="00195CCA">
      <w:pPr>
        <w:spacing w:line="480" w:lineRule="auto"/>
        <w:rPr>
          <w:lang w:val="en-ZA"/>
        </w:rPr>
      </w:pPr>
    </w:p>
    <w:p w:rsidR="00BF774D" w:rsidRDefault="00BF774D" w:rsidP="00195CCA">
      <w:pPr>
        <w:spacing w:line="480" w:lineRule="auto"/>
        <w:rPr>
          <w:lang w:val="en-ZA"/>
        </w:rPr>
      </w:pPr>
    </w:p>
    <w:p w:rsidR="00BF774D" w:rsidRPr="00E95035" w:rsidRDefault="00BF774D" w:rsidP="00195CCA">
      <w:pPr>
        <w:spacing w:line="480" w:lineRule="auto"/>
        <w:rPr>
          <w:lang w:val="en-ZA"/>
        </w:rPr>
      </w:pPr>
    </w:p>
    <w:p w:rsidR="003952A3" w:rsidRPr="00E95035" w:rsidRDefault="003952A3" w:rsidP="00B121DD">
      <w:pPr>
        <w:spacing w:line="480" w:lineRule="auto"/>
        <w:jc w:val="right"/>
        <w:rPr>
          <w:bCs/>
        </w:rPr>
      </w:pPr>
      <w:r w:rsidRPr="00E95035">
        <w:rPr>
          <w:bCs/>
        </w:rPr>
        <w:t>_________________</w:t>
      </w:r>
    </w:p>
    <w:p w:rsidR="003952A3" w:rsidRPr="00E95035" w:rsidRDefault="009512A2" w:rsidP="007B2601">
      <w:pPr>
        <w:spacing w:line="480" w:lineRule="auto"/>
        <w:jc w:val="right"/>
        <w:rPr>
          <w:bCs/>
        </w:rPr>
      </w:pPr>
      <w:r w:rsidRPr="00E95035">
        <w:rPr>
          <w:bCs/>
        </w:rPr>
        <w:t>M S Navsa</w:t>
      </w:r>
    </w:p>
    <w:p w:rsidR="003952A3" w:rsidRPr="00E95035" w:rsidRDefault="002362D0" w:rsidP="007B2601">
      <w:pPr>
        <w:spacing w:line="480" w:lineRule="auto"/>
        <w:jc w:val="right"/>
        <w:rPr>
          <w:bCs/>
        </w:rPr>
      </w:pPr>
      <w:r w:rsidRPr="00E95035">
        <w:rPr>
          <w:bCs/>
        </w:rPr>
        <w:t>Judge of Appeal</w:t>
      </w:r>
    </w:p>
    <w:p w:rsidR="009512A2" w:rsidRPr="00E95035" w:rsidRDefault="009512A2">
      <w:pPr>
        <w:spacing w:after="200" w:line="276" w:lineRule="auto"/>
        <w:jc w:val="left"/>
      </w:pPr>
      <w:r w:rsidRPr="00E95035">
        <w:br w:type="page"/>
      </w:r>
    </w:p>
    <w:p w:rsidR="003952A3" w:rsidRPr="00E95035" w:rsidRDefault="003952A3" w:rsidP="009A3005">
      <w:pPr>
        <w:spacing w:line="480" w:lineRule="auto"/>
      </w:pPr>
      <w:r w:rsidRPr="00E95035">
        <w:lastRenderedPageBreak/>
        <w:t>APPEARANCES</w:t>
      </w:r>
    </w:p>
    <w:p w:rsidR="009C0178" w:rsidRPr="00E95035" w:rsidRDefault="003952A3" w:rsidP="009C0178">
      <w:pPr>
        <w:spacing w:line="480" w:lineRule="auto"/>
      </w:pPr>
      <w:r w:rsidRPr="00E95035">
        <w:t>For Appellant:</w:t>
      </w:r>
      <w:r w:rsidRPr="00E95035">
        <w:tab/>
      </w:r>
      <w:r w:rsidRPr="00E95035">
        <w:tab/>
      </w:r>
      <w:r w:rsidR="000A2F09" w:rsidRPr="00E95035">
        <w:tab/>
      </w:r>
      <w:r w:rsidR="003C3E64" w:rsidRPr="00E95035">
        <w:t>M Oppenheimer</w:t>
      </w:r>
    </w:p>
    <w:p w:rsidR="003952A3" w:rsidRPr="00E95035" w:rsidRDefault="003952A3" w:rsidP="00677137">
      <w:r w:rsidRPr="00E95035">
        <w:tab/>
      </w:r>
      <w:r w:rsidRPr="00E95035">
        <w:tab/>
      </w:r>
      <w:r w:rsidRPr="00E95035">
        <w:tab/>
      </w:r>
      <w:r w:rsidRPr="00E95035">
        <w:tab/>
      </w:r>
      <w:r w:rsidRPr="00E95035">
        <w:tab/>
        <w:t>Instructed by:</w:t>
      </w:r>
      <w:r w:rsidR="000A2F09" w:rsidRPr="00E95035">
        <w:tab/>
      </w:r>
      <w:r w:rsidR="000A2F09" w:rsidRPr="00E95035">
        <w:tab/>
      </w:r>
    </w:p>
    <w:p w:rsidR="003952A3" w:rsidRPr="00E95035" w:rsidRDefault="003952A3" w:rsidP="00677137">
      <w:pPr>
        <w:tabs>
          <w:tab w:val="left" w:pos="0"/>
          <w:tab w:val="left" w:pos="720"/>
          <w:tab w:val="left" w:pos="1440"/>
          <w:tab w:val="left" w:pos="2160"/>
        </w:tabs>
      </w:pPr>
      <w:r w:rsidRPr="00E95035">
        <w:tab/>
      </w:r>
      <w:r w:rsidRPr="00E95035">
        <w:tab/>
      </w:r>
      <w:r w:rsidRPr="00E95035">
        <w:tab/>
      </w:r>
      <w:r w:rsidRPr="00E95035">
        <w:tab/>
      </w:r>
      <w:r w:rsidRPr="00E95035">
        <w:tab/>
      </w:r>
      <w:r w:rsidR="0054787E" w:rsidRPr="00E95035">
        <w:t xml:space="preserve">Jurgens Bekker Attorneys, </w:t>
      </w:r>
      <w:r w:rsidR="006B4481" w:rsidRPr="00E95035">
        <w:t>Bedfordview</w:t>
      </w:r>
    </w:p>
    <w:p w:rsidR="0054787E" w:rsidRPr="00E95035" w:rsidRDefault="0054787E" w:rsidP="00677137">
      <w:pPr>
        <w:tabs>
          <w:tab w:val="left" w:pos="0"/>
          <w:tab w:val="left" w:pos="720"/>
          <w:tab w:val="left" w:pos="1440"/>
          <w:tab w:val="left" w:pos="2160"/>
        </w:tabs>
      </w:pPr>
      <w:r w:rsidRPr="00E95035">
        <w:tab/>
      </w:r>
      <w:r w:rsidRPr="00E95035">
        <w:tab/>
      </w:r>
      <w:r w:rsidRPr="00E95035">
        <w:tab/>
      </w:r>
      <w:r w:rsidRPr="00E95035">
        <w:tab/>
      </w:r>
      <w:r w:rsidRPr="00E95035">
        <w:tab/>
        <w:t>Rossouws Attorneys, Bloemfontein</w:t>
      </w:r>
    </w:p>
    <w:p w:rsidR="007E074D" w:rsidRPr="00E95035" w:rsidRDefault="007E074D" w:rsidP="007E074D"/>
    <w:p w:rsidR="003952A3" w:rsidRPr="00E95035" w:rsidRDefault="003952A3" w:rsidP="003952A3">
      <w:r w:rsidRPr="00E95035">
        <w:t xml:space="preserve">For </w:t>
      </w:r>
      <w:r w:rsidR="009C0178" w:rsidRPr="00E95035">
        <w:t xml:space="preserve">First </w:t>
      </w:r>
      <w:r w:rsidRPr="00E95035">
        <w:t>Respondent:</w:t>
      </w:r>
      <w:r w:rsidRPr="00E95035">
        <w:tab/>
      </w:r>
      <w:r w:rsidR="004D0136" w:rsidRPr="00E95035">
        <w:tab/>
      </w:r>
      <w:r w:rsidR="003C3E64" w:rsidRPr="00E95035">
        <w:t>T Ngcukaitobi (with him O Mokgotho and T Ramogale)</w:t>
      </w:r>
    </w:p>
    <w:p w:rsidR="003952A3" w:rsidRPr="00E95035" w:rsidRDefault="003952A3" w:rsidP="003952A3">
      <w:pPr>
        <w:tabs>
          <w:tab w:val="left" w:pos="0"/>
          <w:tab w:val="left" w:pos="720"/>
          <w:tab w:val="left" w:pos="1440"/>
          <w:tab w:val="left" w:pos="2160"/>
        </w:tabs>
      </w:pPr>
      <w:r w:rsidRPr="00E95035">
        <w:tab/>
      </w:r>
      <w:r w:rsidRPr="00E95035">
        <w:tab/>
      </w:r>
      <w:r w:rsidRPr="00E95035">
        <w:tab/>
      </w:r>
      <w:r w:rsidRPr="00E95035">
        <w:tab/>
      </w:r>
      <w:r w:rsidRPr="00E95035">
        <w:tab/>
      </w:r>
      <w:r w:rsidR="003C3E64" w:rsidRPr="00E95035">
        <w:tab/>
      </w:r>
      <w:r w:rsidR="003C3E64" w:rsidRPr="00E95035">
        <w:tab/>
      </w:r>
      <w:r w:rsidR="003C3E64" w:rsidRPr="00E95035">
        <w:tab/>
      </w:r>
      <w:r w:rsidR="003C3E64" w:rsidRPr="00E95035">
        <w:tab/>
      </w:r>
      <w:r w:rsidR="003C3E64" w:rsidRPr="00E95035">
        <w:tab/>
      </w:r>
      <w:r w:rsidRPr="00E95035">
        <w:t>Instructed by:</w:t>
      </w:r>
    </w:p>
    <w:p w:rsidR="003952A3" w:rsidRPr="00E95035" w:rsidRDefault="003952A3" w:rsidP="009512A2">
      <w:pPr>
        <w:tabs>
          <w:tab w:val="left" w:pos="0"/>
          <w:tab w:val="left" w:pos="720"/>
          <w:tab w:val="left" w:pos="1440"/>
          <w:tab w:val="left" w:pos="2160"/>
        </w:tabs>
      </w:pPr>
      <w:r w:rsidRPr="00E95035">
        <w:tab/>
      </w:r>
      <w:r w:rsidRPr="00E95035">
        <w:tab/>
      </w:r>
      <w:r w:rsidRPr="00E95035">
        <w:tab/>
      </w:r>
      <w:r w:rsidRPr="00E95035">
        <w:tab/>
      </w:r>
      <w:r w:rsidRPr="00E95035">
        <w:tab/>
      </w:r>
      <w:r w:rsidR="0054787E" w:rsidRPr="00E95035">
        <w:t xml:space="preserve">Bowman Gilfillan Attorneys, </w:t>
      </w:r>
      <w:r w:rsidR="006B4481" w:rsidRPr="00E95035">
        <w:t>Sandton</w:t>
      </w:r>
    </w:p>
    <w:p w:rsidR="0054787E" w:rsidRPr="00E95035" w:rsidRDefault="0054787E" w:rsidP="009512A2">
      <w:pPr>
        <w:tabs>
          <w:tab w:val="left" w:pos="0"/>
          <w:tab w:val="left" w:pos="720"/>
          <w:tab w:val="left" w:pos="1440"/>
          <w:tab w:val="left" w:pos="2160"/>
        </w:tabs>
      </w:pPr>
      <w:r w:rsidRPr="00E95035">
        <w:tab/>
      </w:r>
      <w:r w:rsidRPr="00E95035">
        <w:tab/>
      </w:r>
      <w:r w:rsidRPr="00E95035">
        <w:tab/>
      </w:r>
      <w:r w:rsidRPr="00E95035">
        <w:tab/>
      </w:r>
      <w:r w:rsidRPr="00E95035">
        <w:tab/>
        <w:t>Honey Attorneys, Bloemfontein</w:t>
      </w:r>
    </w:p>
    <w:p w:rsidR="009C0178" w:rsidRPr="00E95035" w:rsidRDefault="009C0178" w:rsidP="009512A2">
      <w:pPr>
        <w:tabs>
          <w:tab w:val="left" w:pos="0"/>
          <w:tab w:val="left" w:pos="720"/>
          <w:tab w:val="left" w:pos="1440"/>
          <w:tab w:val="left" w:pos="2160"/>
        </w:tabs>
      </w:pPr>
    </w:p>
    <w:p w:rsidR="009C0178" w:rsidRDefault="009C0178" w:rsidP="009512A2">
      <w:pPr>
        <w:tabs>
          <w:tab w:val="left" w:pos="0"/>
          <w:tab w:val="left" w:pos="720"/>
          <w:tab w:val="left" w:pos="1440"/>
          <w:tab w:val="left" w:pos="2160"/>
        </w:tabs>
      </w:pPr>
      <w:r w:rsidRPr="00E95035">
        <w:t xml:space="preserve">For Second Respondent: </w:t>
      </w:r>
      <w:r w:rsidR="003C3E64" w:rsidRPr="00E95035">
        <w:tab/>
      </w:r>
      <w:r w:rsidR="003C3E64" w:rsidRPr="00E95035">
        <w:tab/>
        <w:t>K D Mhango (with her D Gondo)</w:t>
      </w:r>
    </w:p>
    <w:p w:rsidR="00677137" w:rsidRPr="00E95035" w:rsidRDefault="00677137" w:rsidP="009512A2">
      <w:pPr>
        <w:tabs>
          <w:tab w:val="left" w:pos="0"/>
          <w:tab w:val="left" w:pos="720"/>
          <w:tab w:val="left" w:pos="1440"/>
          <w:tab w:val="left" w:pos="2160"/>
        </w:tabs>
      </w:pPr>
    </w:p>
    <w:p w:rsidR="009C0178" w:rsidRPr="00E95035" w:rsidRDefault="009C0178" w:rsidP="009512A2">
      <w:pPr>
        <w:tabs>
          <w:tab w:val="left" w:pos="0"/>
          <w:tab w:val="left" w:pos="720"/>
          <w:tab w:val="left" w:pos="1440"/>
          <w:tab w:val="left" w:pos="2160"/>
        </w:tabs>
      </w:pPr>
      <w:r w:rsidRPr="00E95035">
        <w:tab/>
      </w:r>
      <w:r w:rsidRPr="00E95035">
        <w:tab/>
      </w:r>
      <w:r w:rsidRPr="00E95035">
        <w:tab/>
      </w:r>
      <w:r w:rsidRPr="00E95035">
        <w:tab/>
      </w:r>
      <w:r w:rsidRPr="00E95035">
        <w:tab/>
        <w:t>Instructed by:</w:t>
      </w:r>
    </w:p>
    <w:p w:rsidR="0054787E" w:rsidRPr="00E95035" w:rsidRDefault="0054787E" w:rsidP="009512A2">
      <w:pPr>
        <w:tabs>
          <w:tab w:val="left" w:pos="0"/>
          <w:tab w:val="left" w:pos="720"/>
          <w:tab w:val="left" w:pos="1440"/>
          <w:tab w:val="left" w:pos="2160"/>
        </w:tabs>
      </w:pPr>
      <w:r w:rsidRPr="00E95035">
        <w:tab/>
      </w:r>
      <w:r w:rsidRPr="00E95035">
        <w:tab/>
      </w:r>
      <w:r w:rsidRPr="00E95035">
        <w:tab/>
      </w:r>
      <w:r w:rsidRPr="00E95035">
        <w:tab/>
      </w:r>
      <w:r w:rsidRPr="00E95035">
        <w:tab/>
        <w:t>The State Attorney,</w:t>
      </w:r>
      <w:r w:rsidR="00677137">
        <w:t xml:space="preserve"> Johannesburg</w:t>
      </w:r>
    </w:p>
    <w:p w:rsidR="0054787E" w:rsidRPr="00E95035" w:rsidRDefault="0054787E" w:rsidP="009512A2">
      <w:pPr>
        <w:tabs>
          <w:tab w:val="left" w:pos="0"/>
          <w:tab w:val="left" w:pos="720"/>
          <w:tab w:val="left" w:pos="1440"/>
          <w:tab w:val="left" w:pos="2160"/>
        </w:tabs>
      </w:pPr>
      <w:r w:rsidRPr="00E95035">
        <w:tab/>
      </w:r>
      <w:r w:rsidRPr="00E95035">
        <w:tab/>
      </w:r>
      <w:r w:rsidRPr="00E95035">
        <w:tab/>
      </w:r>
      <w:r w:rsidRPr="00E95035">
        <w:tab/>
      </w:r>
      <w:r w:rsidRPr="00E95035">
        <w:tab/>
        <w:t>The State Attorney, Bloemfontein</w:t>
      </w:r>
    </w:p>
    <w:p w:rsidR="009C0178" w:rsidRPr="00E95035" w:rsidRDefault="009C0178" w:rsidP="009512A2">
      <w:pPr>
        <w:tabs>
          <w:tab w:val="left" w:pos="0"/>
          <w:tab w:val="left" w:pos="720"/>
          <w:tab w:val="left" w:pos="1440"/>
          <w:tab w:val="left" w:pos="2160"/>
        </w:tabs>
      </w:pPr>
    </w:p>
    <w:p w:rsidR="009C0178" w:rsidRDefault="009C0178" w:rsidP="009512A2">
      <w:pPr>
        <w:tabs>
          <w:tab w:val="left" w:pos="0"/>
          <w:tab w:val="left" w:pos="720"/>
          <w:tab w:val="left" w:pos="1440"/>
          <w:tab w:val="left" w:pos="2160"/>
        </w:tabs>
      </w:pPr>
      <w:r w:rsidRPr="00E95035">
        <w:t xml:space="preserve">For First </w:t>
      </w:r>
      <w:r w:rsidRPr="00E95035">
        <w:rPr>
          <w:i/>
        </w:rPr>
        <w:t>Amicus</w:t>
      </w:r>
      <w:r w:rsidRPr="00E95035">
        <w:t>:</w:t>
      </w:r>
      <w:r w:rsidRPr="00E95035">
        <w:tab/>
      </w:r>
      <w:r w:rsidRPr="00E95035">
        <w:tab/>
      </w:r>
      <w:r w:rsidRPr="00E95035">
        <w:tab/>
      </w:r>
      <w:r w:rsidR="00677137">
        <w:t>S L Shangisa (with him M M Ka-Siboto)</w:t>
      </w:r>
    </w:p>
    <w:p w:rsidR="00677137" w:rsidRPr="00E95035" w:rsidRDefault="00677137" w:rsidP="009512A2">
      <w:pPr>
        <w:tabs>
          <w:tab w:val="left" w:pos="0"/>
          <w:tab w:val="left" w:pos="720"/>
          <w:tab w:val="left" w:pos="1440"/>
          <w:tab w:val="left" w:pos="2160"/>
        </w:tabs>
      </w:pPr>
    </w:p>
    <w:p w:rsidR="009C0178" w:rsidRPr="00E95035" w:rsidRDefault="009C0178" w:rsidP="009512A2">
      <w:pPr>
        <w:tabs>
          <w:tab w:val="left" w:pos="0"/>
          <w:tab w:val="left" w:pos="720"/>
          <w:tab w:val="left" w:pos="1440"/>
          <w:tab w:val="left" w:pos="2160"/>
        </w:tabs>
      </w:pPr>
      <w:r w:rsidRPr="00E95035">
        <w:tab/>
      </w:r>
      <w:r w:rsidRPr="00E95035">
        <w:tab/>
      </w:r>
      <w:r w:rsidRPr="00E95035">
        <w:tab/>
      </w:r>
      <w:r w:rsidRPr="00E95035">
        <w:tab/>
      </w:r>
      <w:r w:rsidRPr="00E95035">
        <w:tab/>
        <w:t>Instructed by:</w:t>
      </w:r>
    </w:p>
    <w:p w:rsidR="0054787E" w:rsidRPr="00E95035" w:rsidRDefault="0054787E" w:rsidP="009512A2">
      <w:pPr>
        <w:tabs>
          <w:tab w:val="left" w:pos="0"/>
          <w:tab w:val="left" w:pos="720"/>
          <w:tab w:val="left" w:pos="1440"/>
          <w:tab w:val="left" w:pos="2160"/>
        </w:tabs>
      </w:pPr>
      <w:r w:rsidRPr="00E95035">
        <w:tab/>
      </w:r>
      <w:r w:rsidRPr="00E95035">
        <w:tab/>
      </w:r>
      <w:r w:rsidRPr="00E95035">
        <w:tab/>
      </w:r>
      <w:r w:rsidRPr="00E95035">
        <w:tab/>
      </w:r>
      <w:r w:rsidRPr="00E95035">
        <w:tab/>
        <w:t>Freedom of Expression Institute,</w:t>
      </w:r>
      <w:r w:rsidR="00677137">
        <w:t xml:space="preserve"> Richmond</w:t>
      </w:r>
    </w:p>
    <w:p w:rsidR="0054787E" w:rsidRPr="00E95035" w:rsidRDefault="0054787E" w:rsidP="009512A2">
      <w:pPr>
        <w:tabs>
          <w:tab w:val="left" w:pos="0"/>
          <w:tab w:val="left" w:pos="720"/>
          <w:tab w:val="left" w:pos="1440"/>
          <w:tab w:val="left" w:pos="2160"/>
        </w:tabs>
      </w:pPr>
      <w:r w:rsidRPr="00E95035">
        <w:tab/>
      </w:r>
      <w:r w:rsidRPr="00E95035">
        <w:tab/>
      </w:r>
      <w:r w:rsidRPr="00E95035">
        <w:tab/>
      </w:r>
      <w:r w:rsidRPr="00E95035">
        <w:tab/>
      </w:r>
      <w:r w:rsidRPr="00E95035">
        <w:tab/>
        <w:t>SMO Seobe Attorneys, Bloemfontein</w:t>
      </w:r>
    </w:p>
    <w:p w:rsidR="009C0178" w:rsidRPr="00E95035" w:rsidRDefault="009C0178" w:rsidP="009512A2">
      <w:pPr>
        <w:tabs>
          <w:tab w:val="left" w:pos="0"/>
          <w:tab w:val="left" w:pos="720"/>
          <w:tab w:val="left" w:pos="1440"/>
          <w:tab w:val="left" w:pos="2160"/>
        </w:tabs>
      </w:pPr>
    </w:p>
    <w:p w:rsidR="009C0178" w:rsidRDefault="009C0178" w:rsidP="003C3E64">
      <w:pPr>
        <w:tabs>
          <w:tab w:val="left" w:pos="0"/>
          <w:tab w:val="left" w:pos="720"/>
          <w:tab w:val="left" w:pos="1440"/>
          <w:tab w:val="left" w:pos="2160"/>
        </w:tabs>
        <w:ind w:left="3600" w:hanging="3600"/>
      </w:pPr>
      <w:r w:rsidRPr="00E95035">
        <w:t xml:space="preserve">For Second </w:t>
      </w:r>
      <w:r w:rsidRPr="00E95035">
        <w:rPr>
          <w:i/>
        </w:rPr>
        <w:t>Amicus</w:t>
      </w:r>
      <w:r w:rsidRPr="00E95035">
        <w:t>:</w:t>
      </w:r>
      <w:r w:rsidR="003C3E64" w:rsidRPr="00E95035">
        <w:tab/>
        <w:t>K Hofmeyr (with her C Steinberg, D Smit and H  Cassim)</w:t>
      </w:r>
    </w:p>
    <w:p w:rsidR="00677137" w:rsidRPr="00E95035" w:rsidRDefault="00677137" w:rsidP="003C3E64">
      <w:pPr>
        <w:tabs>
          <w:tab w:val="left" w:pos="0"/>
          <w:tab w:val="left" w:pos="720"/>
          <w:tab w:val="left" w:pos="1440"/>
          <w:tab w:val="left" w:pos="2160"/>
        </w:tabs>
        <w:ind w:left="3600" w:hanging="3600"/>
      </w:pPr>
    </w:p>
    <w:p w:rsidR="009C0178" w:rsidRPr="00E95035" w:rsidRDefault="009C0178" w:rsidP="009512A2">
      <w:pPr>
        <w:tabs>
          <w:tab w:val="left" w:pos="0"/>
          <w:tab w:val="left" w:pos="720"/>
          <w:tab w:val="left" w:pos="1440"/>
          <w:tab w:val="left" w:pos="2160"/>
        </w:tabs>
      </w:pPr>
      <w:r w:rsidRPr="00E95035">
        <w:tab/>
      </w:r>
      <w:r w:rsidRPr="00E95035">
        <w:tab/>
      </w:r>
      <w:r w:rsidRPr="00E95035">
        <w:tab/>
      </w:r>
      <w:r w:rsidRPr="00E95035">
        <w:tab/>
      </w:r>
      <w:r w:rsidRPr="00E95035">
        <w:tab/>
        <w:t>Instructed by:</w:t>
      </w:r>
    </w:p>
    <w:p w:rsidR="00EF4DBF" w:rsidRPr="00E95035" w:rsidRDefault="0054787E" w:rsidP="003952A3">
      <w:pPr>
        <w:tabs>
          <w:tab w:val="left" w:pos="0"/>
          <w:tab w:val="left" w:pos="720"/>
          <w:tab w:val="left" w:pos="1440"/>
          <w:tab w:val="left" w:pos="2160"/>
        </w:tabs>
        <w:rPr>
          <w:sz w:val="22"/>
          <w:szCs w:val="22"/>
        </w:rPr>
      </w:pPr>
      <w:r w:rsidRPr="00E95035">
        <w:rPr>
          <w:sz w:val="22"/>
          <w:szCs w:val="22"/>
        </w:rPr>
        <w:tab/>
      </w:r>
      <w:r w:rsidRPr="00E95035">
        <w:rPr>
          <w:sz w:val="22"/>
          <w:szCs w:val="22"/>
        </w:rPr>
        <w:tab/>
      </w:r>
      <w:r w:rsidRPr="00E95035">
        <w:rPr>
          <w:sz w:val="22"/>
          <w:szCs w:val="22"/>
        </w:rPr>
        <w:tab/>
      </w:r>
      <w:r w:rsidRPr="00E95035">
        <w:rPr>
          <w:sz w:val="22"/>
          <w:szCs w:val="22"/>
        </w:rPr>
        <w:tab/>
      </w:r>
      <w:r w:rsidRPr="00E95035">
        <w:rPr>
          <w:sz w:val="22"/>
          <w:szCs w:val="22"/>
        </w:rPr>
        <w:tab/>
        <w:t>Webber Wentzel Attorneys,</w:t>
      </w:r>
      <w:r w:rsidR="00677137">
        <w:rPr>
          <w:sz w:val="22"/>
          <w:szCs w:val="22"/>
        </w:rPr>
        <w:t xml:space="preserve"> Sandton</w:t>
      </w:r>
    </w:p>
    <w:p w:rsidR="0054787E" w:rsidRDefault="0054787E" w:rsidP="003952A3">
      <w:pPr>
        <w:tabs>
          <w:tab w:val="left" w:pos="0"/>
          <w:tab w:val="left" w:pos="720"/>
          <w:tab w:val="left" w:pos="1440"/>
          <w:tab w:val="left" w:pos="2160"/>
        </w:tabs>
        <w:rPr>
          <w:sz w:val="22"/>
          <w:szCs w:val="22"/>
        </w:rPr>
      </w:pPr>
      <w:r w:rsidRPr="00E95035">
        <w:rPr>
          <w:sz w:val="22"/>
          <w:szCs w:val="22"/>
        </w:rPr>
        <w:tab/>
      </w:r>
      <w:r w:rsidRPr="00E95035">
        <w:rPr>
          <w:sz w:val="22"/>
          <w:szCs w:val="22"/>
        </w:rPr>
        <w:tab/>
      </w:r>
      <w:r w:rsidRPr="00E95035">
        <w:rPr>
          <w:sz w:val="22"/>
          <w:szCs w:val="22"/>
        </w:rPr>
        <w:tab/>
      </w:r>
      <w:r w:rsidRPr="00E95035">
        <w:rPr>
          <w:sz w:val="22"/>
          <w:szCs w:val="22"/>
        </w:rPr>
        <w:tab/>
      </w:r>
      <w:r w:rsidRPr="00E95035">
        <w:rPr>
          <w:sz w:val="22"/>
          <w:szCs w:val="22"/>
        </w:rPr>
        <w:tab/>
        <w:t>Webbers Attorneys, Bloemfontein</w:t>
      </w:r>
    </w:p>
    <w:p w:rsidR="00B15C25" w:rsidRDefault="00B15C25" w:rsidP="003952A3">
      <w:pPr>
        <w:tabs>
          <w:tab w:val="left" w:pos="0"/>
          <w:tab w:val="left" w:pos="720"/>
          <w:tab w:val="left" w:pos="1440"/>
          <w:tab w:val="left" w:pos="2160"/>
        </w:tabs>
        <w:rPr>
          <w:sz w:val="22"/>
          <w:szCs w:val="22"/>
        </w:rPr>
      </w:pPr>
    </w:p>
    <w:p w:rsidR="00B15C25" w:rsidRDefault="00B15C25" w:rsidP="00B15C25">
      <w:pPr>
        <w:rPr>
          <w:sz w:val="22"/>
          <w:szCs w:val="22"/>
        </w:rPr>
      </w:pPr>
    </w:p>
    <w:p w:rsidR="003952A3" w:rsidRDefault="003952A3" w:rsidP="003952A3">
      <w:pPr>
        <w:tabs>
          <w:tab w:val="left" w:pos="0"/>
          <w:tab w:val="left" w:pos="720"/>
          <w:tab w:val="left" w:pos="1440"/>
          <w:tab w:val="left" w:pos="2160"/>
        </w:tabs>
      </w:pPr>
    </w:p>
    <w:p w:rsidR="003952A3" w:rsidRPr="00627D05" w:rsidRDefault="003952A3" w:rsidP="003952A3">
      <w:pPr>
        <w:rPr>
          <w:b/>
          <w:bCs/>
        </w:rPr>
      </w:pPr>
    </w:p>
    <w:p w:rsidR="003952A3" w:rsidRPr="0063151F" w:rsidRDefault="003952A3" w:rsidP="003952A3"/>
    <w:p w:rsidR="003952A3" w:rsidRPr="0063151F" w:rsidRDefault="003952A3" w:rsidP="003952A3"/>
    <w:p w:rsidR="004347BE" w:rsidRDefault="004347BE" w:rsidP="00302597"/>
    <w:sectPr w:rsidR="004347BE" w:rsidSect="00685CBF">
      <w:headerReference w:type="default" r:id="rId9"/>
      <w:footerReference w:type="default" r:id="rId10"/>
      <w:pgSz w:w="12240" w:h="15840" w:code="1"/>
      <w:pgMar w:top="1135" w:right="1440" w:bottom="1440"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2E1" w:rsidRDefault="00F042E1">
      <w:r>
        <w:separator/>
      </w:r>
    </w:p>
  </w:endnote>
  <w:endnote w:type="continuationSeparator" w:id="0">
    <w:p w:rsidR="00F042E1" w:rsidRDefault="00F0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A0" w:rsidRDefault="000775A0" w:rsidP="004C2698">
    <w:pPr>
      <w:pStyle w:val="Footer"/>
      <w:framePr w:wrap="auto" w:vAnchor="text" w:hAnchor="margin" w:xAlign="right" w:y="1"/>
      <w:rPr>
        <w:rStyle w:val="PageNumber"/>
        <w:rFonts w:cs="Arial"/>
      </w:rPr>
    </w:pPr>
  </w:p>
  <w:p w:rsidR="000775A0" w:rsidRDefault="000775A0" w:rsidP="00C243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2E1" w:rsidRDefault="00F042E1">
      <w:r>
        <w:separator/>
      </w:r>
    </w:p>
  </w:footnote>
  <w:footnote w:type="continuationSeparator" w:id="0">
    <w:p w:rsidR="00F042E1" w:rsidRDefault="00F042E1">
      <w:r>
        <w:continuationSeparator/>
      </w:r>
    </w:p>
  </w:footnote>
  <w:footnote w:id="1">
    <w:p w:rsidR="000775A0" w:rsidRPr="00AD4C30" w:rsidRDefault="000775A0" w:rsidP="00CB6878">
      <w:pPr>
        <w:pStyle w:val="FootnoteText"/>
        <w:rPr>
          <w:lang w:val="en-ZA"/>
        </w:rPr>
      </w:pPr>
      <w:r w:rsidRPr="00AD4C30">
        <w:rPr>
          <w:rStyle w:val="FootnoteReference"/>
        </w:rPr>
        <w:footnoteRef/>
      </w:r>
      <w:r w:rsidRPr="00AD4C30">
        <w:t xml:space="preserve"> </w:t>
      </w:r>
      <w:r w:rsidRPr="00AD4C30">
        <w:rPr>
          <w:lang w:val="en-ZA"/>
        </w:rPr>
        <w:t xml:space="preserve">K. Hamilton </w:t>
      </w:r>
      <w:r w:rsidRPr="00AD4C30">
        <w:rPr>
          <w:i/>
          <w:lang w:val="en-ZA"/>
        </w:rPr>
        <w:t>Burnt Offerings</w:t>
      </w:r>
      <w:r w:rsidRPr="00AD4C30">
        <w:rPr>
          <w:lang w:val="en-ZA"/>
        </w:rPr>
        <w:t xml:space="preserve"> (2002) 89.</w:t>
      </w:r>
    </w:p>
  </w:footnote>
  <w:footnote w:id="2">
    <w:p w:rsidR="000775A0" w:rsidRPr="00AD4C30" w:rsidRDefault="000775A0">
      <w:pPr>
        <w:pStyle w:val="FootnoteText"/>
        <w:rPr>
          <w:lang w:val="en-ZA"/>
        </w:rPr>
      </w:pPr>
      <w:r w:rsidRPr="00AD4C30">
        <w:rPr>
          <w:rStyle w:val="FootnoteReference"/>
        </w:rPr>
        <w:footnoteRef/>
      </w:r>
      <w:r w:rsidRPr="00AD4C30">
        <w:t xml:space="preserve"> </w:t>
      </w:r>
      <w:r w:rsidRPr="00AD4C30">
        <w:rPr>
          <w:lang w:val="en-ZA"/>
        </w:rPr>
        <w:t xml:space="preserve">Original preface to G Orwell </w:t>
      </w:r>
      <w:r w:rsidRPr="00AD4C30">
        <w:rPr>
          <w:i/>
          <w:lang w:val="en-ZA"/>
        </w:rPr>
        <w:t>Animal Farm</w:t>
      </w:r>
      <w:r w:rsidRPr="00AD4C30">
        <w:rPr>
          <w:lang w:val="en-ZA"/>
        </w:rPr>
        <w:t xml:space="preserve">; as published in I R Willison </w:t>
      </w:r>
      <w:r w:rsidRPr="00AD4C30">
        <w:rPr>
          <w:i/>
          <w:lang w:val="en-ZA"/>
        </w:rPr>
        <w:t xml:space="preserve">George Orwell: Some Materials for a Bibliography </w:t>
      </w:r>
      <w:r w:rsidRPr="00AD4C30">
        <w:rPr>
          <w:lang w:val="en-ZA"/>
        </w:rPr>
        <w:t>(1953).</w:t>
      </w:r>
    </w:p>
  </w:footnote>
  <w:footnote w:id="3">
    <w:p w:rsidR="000775A0" w:rsidRPr="00AD4C30" w:rsidRDefault="000775A0">
      <w:pPr>
        <w:pStyle w:val="FootnoteText"/>
        <w:rPr>
          <w:lang w:val="en-ZA"/>
        </w:rPr>
      </w:pPr>
      <w:r w:rsidRPr="00AD4C30">
        <w:rPr>
          <w:rStyle w:val="FootnoteReference"/>
        </w:rPr>
        <w:footnoteRef/>
      </w:r>
      <w:r w:rsidRPr="00AD4C30">
        <w:t xml:space="preserve"> </w:t>
      </w:r>
      <w:r>
        <w:rPr>
          <w:lang w:val="en-ZA"/>
        </w:rPr>
        <w:t xml:space="preserve">Mokokoma Mokhonoana </w:t>
      </w:r>
      <w:r w:rsidRPr="00D6291C">
        <w:rPr>
          <w:i/>
          <w:iCs/>
          <w:lang w:val="en-ZA"/>
        </w:rPr>
        <w:t>good reads</w:t>
      </w:r>
      <w:r w:rsidRPr="00AD4C30">
        <w:rPr>
          <w:lang w:val="en-ZA"/>
        </w:rPr>
        <w:t xml:space="preserve"> </w:t>
      </w:r>
      <w:r>
        <w:rPr>
          <w:lang w:val="en-ZA"/>
        </w:rPr>
        <w:t>&lt;</w:t>
      </w:r>
      <w:hyperlink r:id="rId1" w:history="1">
        <w:r w:rsidRPr="00AD4C30">
          <w:rPr>
            <w:rStyle w:val="Hyperlink"/>
            <w:rFonts w:eastAsiaTheme="majorEastAsia"/>
            <w:color w:val="auto"/>
            <w:u w:val="none"/>
          </w:rPr>
          <w:t>https://www.goodreads.com/quotes/9560747-freedom-of-speech-gives-us-the-right-to-offend-others</w:t>
        </w:r>
      </w:hyperlink>
      <w:r>
        <w:rPr>
          <w:rStyle w:val="Hyperlink"/>
          <w:rFonts w:eastAsiaTheme="majorEastAsia"/>
          <w:color w:val="auto"/>
          <w:u w:val="none"/>
        </w:rPr>
        <w:t>&gt;</w:t>
      </w:r>
      <w:r w:rsidRPr="00AD4C30">
        <w:t xml:space="preserve"> (accessed 25-09-2019).</w:t>
      </w:r>
    </w:p>
  </w:footnote>
  <w:footnote w:id="4">
    <w:p w:rsidR="000775A0" w:rsidRPr="00AD4C30" w:rsidRDefault="000775A0" w:rsidP="00F31439">
      <w:pPr>
        <w:pStyle w:val="FootnoteText"/>
      </w:pPr>
      <w:r w:rsidRPr="00AD4C30">
        <w:rPr>
          <w:rStyle w:val="FootnoteReference"/>
        </w:rPr>
        <w:footnoteRef/>
      </w:r>
      <w:r w:rsidRPr="00AD4C30">
        <w:t xml:space="preserve"> The three counts were:</w:t>
      </w:r>
    </w:p>
    <w:p w:rsidR="000775A0" w:rsidRPr="00AD4C30" w:rsidRDefault="000775A0" w:rsidP="00EF6961">
      <w:pPr>
        <w:pStyle w:val="FootnoteText"/>
        <w:numPr>
          <w:ilvl w:val="0"/>
          <w:numId w:val="1"/>
        </w:numPr>
      </w:pPr>
      <w:r w:rsidRPr="00AD4C30">
        <w:t>Publishing denigratory references to people’s sexual orientation in the column by Qwelane;</w:t>
      </w:r>
    </w:p>
    <w:p w:rsidR="000775A0" w:rsidRPr="00AD4C30" w:rsidRDefault="000775A0" w:rsidP="00EF6961">
      <w:pPr>
        <w:pStyle w:val="FootnoteText"/>
        <w:numPr>
          <w:ilvl w:val="0"/>
          <w:numId w:val="1"/>
        </w:numPr>
      </w:pPr>
      <w:r w:rsidRPr="00AD4C30">
        <w:t>Implying that homosexuals are a lower breed than heterosexuals; and</w:t>
      </w:r>
    </w:p>
    <w:p w:rsidR="000775A0" w:rsidRPr="00AD4C30" w:rsidRDefault="000775A0" w:rsidP="00EF6961">
      <w:pPr>
        <w:pStyle w:val="FootnoteText"/>
        <w:numPr>
          <w:ilvl w:val="0"/>
          <w:numId w:val="1"/>
        </w:numPr>
      </w:pPr>
      <w:r w:rsidRPr="00AD4C30">
        <w:t>In the cartoon accompanying the column, which was also disparaging of homosexuals.</w:t>
      </w:r>
    </w:p>
  </w:footnote>
  <w:footnote w:id="5">
    <w:p w:rsidR="000775A0" w:rsidRPr="00AD4C30" w:rsidRDefault="000775A0">
      <w:pPr>
        <w:pStyle w:val="FootnoteText"/>
        <w:rPr>
          <w:lang w:val="en-ZA"/>
        </w:rPr>
      </w:pPr>
      <w:r w:rsidRPr="00AD4C30">
        <w:rPr>
          <w:rStyle w:val="FootnoteReference"/>
        </w:rPr>
        <w:footnoteRef/>
      </w:r>
      <w:r w:rsidRPr="00AD4C30">
        <w:t xml:space="preserve"> </w:t>
      </w:r>
      <w:r w:rsidRPr="00AD4C30">
        <w:rPr>
          <w:lang w:val="en-ZA"/>
        </w:rPr>
        <w:t>Section 21(2)</w:t>
      </w:r>
      <w:r w:rsidRPr="00AD4C30">
        <w:rPr>
          <w:i/>
          <w:lang w:val="en-ZA"/>
        </w:rPr>
        <w:t>(b).</w:t>
      </w:r>
    </w:p>
  </w:footnote>
  <w:footnote w:id="6">
    <w:p w:rsidR="000775A0" w:rsidRPr="00AD4C30" w:rsidRDefault="000775A0">
      <w:pPr>
        <w:pStyle w:val="FootnoteText"/>
        <w:rPr>
          <w:lang w:val="en-ZA"/>
        </w:rPr>
      </w:pPr>
      <w:r w:rsidRPr="00AD4C30">
        <w:rPr>
          <w:rStyle w:val="FootnoteReference"/>
        </w:rPr>
        <w:footnoteRef/>
      </w:r>
      <w:r w:rsidRPr="00AD4C30">
        <w:t xml:space="preserve"> </w:t>
      </w:r>
      <w:r w:rsidRPr="00AD4C30">
        <w:rPr>
          <w:lang w:val="en-ZA"/>
        </w:rPr>
        <w:t>Section 21(2)</w:t>
      </w:r>
      <w:r w:rsidRPr="00AD4C30">
        <w:rPr>
          <w:i/>
          <w:lang w:val="en-ZA"/>
        </w:rPr>
        <w:t>(d)</w:t>
      </w:r>
      <w:r w:rsidRPr="00AD4C30">
        <w:rPr>
          <w:lang w:val="en-ZA"/>
        </w:rPr>
        <w:t xml:space="preserve"> and </w:t>
      </w:r>
      <w:r w:rsidRPr="00AD4C30">
        <w:rPr>
          <w:i/>
          <w:lang w:val="en-ZA"/>
        </w:rPr>
        <w:t>(e)</w:t>
      </w:r>
      <w:r w:rsidRPr="00AD4C30">
        <w:rPr>
          <w:lang w:val="en-ZA"/>
        </w:rPr>
        <w:t>.</w:t>
      </w:r>
    </w:p>
  </w:footnote>
  <w:footnote w:id="7">
    <w:p w:rsidR="000775A0" w:rsidRPr="00AD4C30" w:rsidRDefault="000775A0">
      <w:pPr>
        <w:pStyle w:val="FootnoteText"/>
        <w:rPr>
          <w:lang w:val="en-ZA"/>
        </w:rPr>
      </w:pPr>
      <w:r w:rsidRPr="00AD4C30">
        <w:rPr>
          <w:rStyle w:val="FootnoteReference"/>
        </w:rPr>
        <w:footnoteRef/>
      </w:r>
      <w:r w:rsidRPr="00AD4C30">
        <w:t xml:space="preserve"> </w:t>
      </w:r>
      <w:r w:rsidRPr="00AD4C30">
        <w:rPr>
          <w:lang w:val="en-ZA"/>
        </w:rPr>
        <w:t>Section 21(2)</w:t>
      </w:r>
      <w:r w:rsidRPr="00AD4C30">
        <w:rPr>
          <w:i/>
          <w:lang w:val="en-ZA"/>
        </w:rPr>
        <w:t>(f)</w:t>
      </w:r>
      <w:r w:rsidRPr="00AD4C30">
        <w:rPr>
          <w:lang w:val="en-ZA"/>
        </w:rPr>
        <w:t>-</w:t>
      </w:r>
      <w:r w:rsidRPr="00AD4C30">
        <w:rPr>
          <w:i/>
          <w:lang w:val="en-ZA"/>
        </w:rPr>
        <w:t>(i)</w:t>
      </w:r>
      <w:r w:rsidRPr="00AD4C30">
        <w:rPr>
          <w:lang w:val="en-ZA"/>
        </w:rPr>
        <w:t>.</w:t>
      </w:r>
    </w:p>
  </w:footnote>
  <w:footnote w:id="8">
    <w:p w:rsidR="000775A0" w:rsidRPr="00AD4C30" w:rsidRDefault="000775A0">
      <w:pPr>
        <w:pStyle w:val="FootnoteText"/>
        <w:rPr>
          <w:lang w:val="en-ZA"/>
        </w:rPr>
      </w:pPr>
      <w:r w:rsidRPr="00AD4C30">
        <w:rPr>
          <w:rStyle w:val="FootnoteReference"/>
        </w:rPr>
        <w:footnoteRef/>
      </w:r>
      <w:r w:rsidRPr="00AD4C30">
        <w:t xml:space="preserve"> </w:t>
      </w:r>
      <w:r w:rsidRPr="00AD4C30">
        <w:rPr>
          <w:lang w:val="en-ZA"/>
        </w:rPr>
        <w:t>Section 21(2)</w:t>
      </w:r>
      <w:r w:rsidRPr="00AD4C30">
        <w:rPr>
          <w:i/>
          <w:lang w:val="en-ZA"/>
        </w:rPr>
        <w:t>(j)</w:t>
      </w:r>
      <w:r w:rsidRPr="00AD4C30">
        <w:rPr>
          <w:lang w:val="en-ZA"/>
        </w:rPr>
        <w:t>.</w:t>
      </w:r>
    </w:p>
  </w:footnote>
  <w:footnote w:id="9">
    <w:p w:rsidR="000775A0" w:rsidRPr="00AD4C30" w:rsidRDefault="000775A0">
      <w:pPr>
        <w:pStyle w:val="FootnoteText"/>
        <w:rPr>
          <w:lang w:val="en-ZA"/>
        </w:rPr>
      </w:pPr>
      <w:r w:rsidRPr="00AD4C30">
        <w:rPr>
          <w:rStyle w:val="FootnoteReference"/>
        </w:rPr>
        <w:footnoteRef/>
      </w:r>
      <w:r w:rsidRPr="00AD4C30">
        <w:t xml:space="preserve"> </w:t>
      </w:r>
      <w:r w:rsidRPr="00AD4C30">
        <w:rPr>
          <w:lang w:val="en-ZA"/>
        </w:rPr>
        <w:t>Section 21(2)</w:t>
      </w:r>
      <w:r w:rsidRPr="00AD4C30">
        <w:rPr>
          <w:i/>
          <w:lang w:val="en-ZA"/>
        </w:rPr>
        <w:t>(n)</w:t>
      </w:r>
      <w:r w:rsidRPr="00AD4C30">
        <w:rPr>
          <w:lang w:val="en-ZA"/>
        </w:rPr>
        <w:t>.</w:t>
      </w:r>
    </w:p>
  </w:footnote>
  <w:footnote w:id="10">
    <w:p w:rsidR="000775A0" w:rsidRPr="00AD4C30" w:rsidRDefault="000775A0">
      <w:pPr>
        <w:pStyle w:val="FootnoteText"/>
        <w:rPr>
          <w:lang w:val="en-ZA"/>
        </w:rPr>
      </w:pPr>
      <w:r w:rsidRPr="00AD4C30">
        <w:rPr>
          <w:rStyle w:val="FootnoteReference"/>
        </w:rPr>
        <w:footnoteRef/>
      </w:r>
      <w:r w:rsidRPr="00AD4C30">
        <w:t xml:space="preserve"> </w:t>
      </w:r>
      <w:r w:rsidRPr="00AD4C30">
        <w:rPr>
          <w:bCs/>
        </w:rPr>
        <w:t>(My emphasis.)</w:t>
      </w:r>
    </w:p>
  </w:footnote>
  <w:footnote w:id="11">
    <w:p w:rsidR="000775A0" w:rsidRPr="00AD4C30" w:rsidRDefault="000775A0">
      <w:pPr>
        <w:pStyle w:val="FootnoteText"/>
        <w:rPr>
          <w:lang w:val="en-ZA"/>
        </w:rPr>
      </w:pPr>
      <w:r w:rsidRPr="00AD4C30">
        <w:rPr>
          <w:rStyle w:val="FootnoteReference"/>
        </w:rPr>
        <w:footnoteRef/>
      </w:r>
      <w:r w:rsidRPr="00AD4C30">
        <w:t xml:space="preserve"> </w:t>
      </w:r>
      <w:r w:rsidRPr="00AD4C30">
        <w:rPr>
          <w:bCs/>
        </w:rPr>
        <w:t>(My emphasis.)</w:t>
      </w:r>
    </w:p>
  </w:footnote>
  <w:footnote w:id="12">
    <w:p w:rsidR="000775A0" w:rsidRPr="00AD4C30" w:rsidRDefault="000775A0" w:rsidP="0055371A">
      <w:pPr>
        <w:pStyle w:val="FootnoteText"/>
        <w:jc w:val="both"/>
        <w:rPr>
          <w:lang w:val="en-ZA"/>
        </w:rPr>
      </w:pPr>
      <w:r w:rsidRPr="00AD4C30">
        <w:rPr>
          <w:rStyle w:val="FootnoteReference"/>
        </w:rPr>
        <w:footnoteRef/>
      </w:r>
      <w:r w:rsidRPr="00AD4C30">
        <w:t xml:space="preserve"> </w:t>
      </w:r>
      <w:r w:rsidRPr="00AD4C30">
        <w:rPr>
          <w:lang w:val="en-ZA"/>
        </w:rPr>
        <w:t xml:space="preserve">See </w:t>
      </w:r>
      <w:r w:rsidRPr="00AD4C30">
        <w:rPr>
          <w:i/>
          <w:lang w:val="en-ZA"/>
        </w:rPr>
        <w:t>Minister of Environmental Affairs and Tourism v George</w:t>
      </w:r>
      <w:r w:rsidRPr="00AD4C30">
        <w:rPr>
          <w:lang w:val="en-ZA"/>
        </w:rPr>
        <w:t xml:space="preserve"> [2006] ZASCA 57; 2007 (3) SA 62 (SCA) para 19; </w:t>
      </w:r>
      <w:r w:rsidRPr="00AD4C30">
        <w:rPr>
          <w:i/>
          <w:lang w:val="en-ZA"/>
        </w:rPr>
        <w:t>Manong &amp; Associates (Pty) Ltd v Department of Roads and Transport, Eastern Cape &amp; another (No 1)</w:t>
      </w:r>
      <w:r w:rsidRPr="00AD4C30">
        <w:rPr>
          <w:lang w:val="en-ZA"/>
        </w:rPr>
        <w:t xml:space="preserve"> </w:t>
      </w:r>
      <w:r>
        <w:rPr>
          <w:lang w:val="en-ZA"/>
        </w:rPr>
        <w:t xml:space="preserve">[2009] ZASCA 59; </w:t>
      </w:r>
      <w:r w:rsidRPr="00AD4C30">
        <w:rPr>
          <w:lang w:val="en-ZA"/>
        </w:rPr>
        <w:t>2009 (6) SA 574 (SCA) paras 3</w:t>
      </w:r>
      <w:r>
        <w:rPr>
          <w:lang w:val="en-ZA"/>
        </w:rPr>
        <w:t>0</w:t>
      </w:r>
      <w:r w:rsidRPr="00AD4C30">
        <w:rPr>
          <w:lang w:val="en-ZA"/>
        </w:rPr>
        <w:t>-3</w:t>
      </w:r>
      <w:r>
        <w:rPr>
          <w:lang w:val="en-ZA"/>
        </w:rPr>
        <w:t>1</w:t>
      </w:r>
      <w:r w:rsidRPr="00AD4C30">
        <w:rPr>
          <w:lang w:val="en-ZA"/>
        </w:rPr>
        <w:t xml:space="preserve">; </w:t>
      </w:r>
      <w:r w:rsidRPr="00AD4C30">
        <w:rPr>
          <w:i/>
          <w:lang w:val="en-ZA"/>
        </w:rPr>
        <w:t xml:space="preserve">Manong &amp; Associates (Pty) Ltd v Department of Roads and Transport, Eastern Cape &amp; others (No 2) </w:t>
      </w:r>
      <w:r>
        <w:rPr>
          <w:iCs/>
          <w:lang w:val="en-ZA"/>
        </w:rPr>
        <w:t xml:space="preserve">[2009] ZASCA 50; </w:t>
      </w:r>
      <w:r w:rsidRPr="00AD4C30">
        <w:rPr>
          <w:lang w:val="en-ZA"/>
        </w:rPr>
        <w:t>2009 (6) SA 589 (SCA) paras 54 and 57</w:t>
      </w:r>
      <w:r>
        <w:rPr>
          <w:lang w:val="en-ZA"/>
        </w:rPr>
        <w:t xml:space="preserve"> </w:t>
      </w:r>
      <w:r w:rsidRPr="00AD4C30">
        <w:rPr>
          <w:lang w:val="en-ZA"/>
        </w:rPr>
        <w:t xml:space="preserve">and </w:t>
      </w:r>
      <w:r w:rsidRPr="00AD4C30">
        <w:rPr>
          <w:i/>
          <w:lang w:val="en-ZA"/>
        </w:rPr>
        <w:t>De Lange v Presid</w:t>
      </w:r>
      <w:r>
        <w:rPr>
          <w:i/>
          <w:lang w:val="en-ZA"/>
        </w:rPr>
        <w:t>ing</w:t>
      </w:r>
      <w:r w:rsidRPr="00AD4C30">
        <w:rPr>
          <w:i/>
          <w:lang w:val="en-ZA"/>
        </w:rPr>
        <w:t xml:space="preserve"> Bishop of the Methodist Church of Southern Africa for the Time Being &amp; another</w:t>
      </w:r>
      <w:r w:rsidRPr="00AD4C30">
        <w:rPr>
          <w:lang w:val="en-ZA"/>
        </w:rPr>
        <w:t xml:space="preserve"> [2015] ZACC 35; 2016 (2) SA 1 (CC) paras 55-58.</w:t>
      </w:r>
    </w:p>
  </w:footnote>
  <w:footnote w:id="13">
    <w:p w:rsidR="000775A0" w:rsidRPr="00AD4C30" w:rsidRDefault="000775A0" w:rsidP="00A84F67">
      <w:pPr>
        <w:pStyle w:val="FootnoteText"/>
        <w:jc w:val="both"/>
        <w:rPr>
          <w:i/>
          <w:lang w:val="en-ZA"/>
        </w:rPr>
      </w:pPr>
      <w:r w:rsidRPr="00AD4C30">
        <w:rPr>
          <w:rStyle w:val="FootnoteReference"/>
        </w:rPr>
        <w:footnoteRef/>
      </w:r>
      <w:r w:rsidRPr="00AD4C30">
        <w:t xml:space="preserve"> </w:t>
      </w:r>
      <w:r w:rsidRPr="00AD4C30">
        <w:rPr>
          <w:lang w:val="en-ZA"/>
        </w:rPr>
        <w:t xml:space="preserve">J A Nel &amp; M Judge </w:t>
      </w:r>
      <w:r w:rsidRPr="00AD4C30">
        <w:rPr>
          <w:bCs/>
        </w:rPr>
        <w:t xml:space="preserve">‘Exploring homophobic victimisation in Gauteng, South Africa: Issues, impacts and responses’ 21 (2008) 1 </w:t>
      </w:r>
      <w:r w:rsidRPr="00AD4C30">
        <w:rPr>
          <w:bCs/>
          <w:i/>
        </w:rPr>
        <w:t>Acta Criminologica</w:t>
      </w:r>
      <w:r w:rsidRPr="00AD4C30">
        <w:rPr>
          <w:bCs/>
        </w:rPr>
        <w:t xml:space="preserve"> 19-36.</w:t>
      </w:r>
      <w:r w:rsidRPr="00AD4C30">
        <w:rPr>
          <w:bCs/>
          <w:i/>
        </w:rPr>
        <w:t xml:space="preserve"> </w:t>
      </w:r>
    </w:p>
  </w:footnote>
  <w:footnote w:id="14">
    <w:p w:rsidR="000775A0" w:rsidRPr="00AD4C30" w:rsidRDefault="000775A0" w:rsidP="005C6EA0">
      <w:pPr>
        <w:pStyle w:val="FootnoteText"/>
        <w:jc w:val="both"/>
        <w:rPr>
          <w:lang w:val="en-ZA"/>
        </w:rPr>
      </w:pPr>
      <w:r w:rsidRPr="00AD4C30">
        <w:rPr>
          <w:rStyle w:val="FootnoteReference"/>
        </w:rPr>
        <w:footnoteRef/>
      </w:r>
      <w:r w:rsidRPr="00AD4C30">
        <w:t xml:space="preserve"> </w:t>
      </w:r>
      <w:r w:rsidRPr="00AD4C30">
        <w:rPr>
          <w:lang w:val="en-ZA"/>
        </w:rPr>
        <w:t xml:space="preserve">L A Polders, J A Nel, P Kruger &amp; H L Wells </w:t>
      </w:r>
      <w:r w:rsidRPr="00AD4C30">
        <w:rPr>
          <w:bCs/>
        </w:rPr>
        <w:t xml:space="preserve">‘Factors affecting vulnerability to depression among gay men and lesbian women in Gauteng, South Africa’ (2008) 38 </w:t>
      </w:r>
      <w:r w:rsidRPr="00AD4C30">
        <w:rPr>
          <w:bCs/>
          <w:i/>
        </w:rPr>
        <w:t>South African Journal of Psychology</w:t>
      </w:r>
      <w:r w:rsidRPr="00AD4C30">
        <w:rPr>
          <w:bCs/>
        </w:rPr>
        <w:t xml:space="preserve"> 673-687.</w:t>
      </w:r>
    </w:p>
  </w:footnote>
  <w:footnote w:id="15">
    <w:p w:rsidR="000775A0" w:rsidRPr="00AD4C30" w:rsidRDefault="000775A0" w:rsidP="001444FF">
      <w:pPr>
        <w:pStyle w:val="FootnoteText"/>
        <w:jc w:val="both"/>
        <w:rPr>
          <w:lang w:val="en-ZA"/>
        </w:rPr>
      </w:pPr>
      <w:r w:rsidRPr="00AD4C30">
        <w:rPr>
          <w:rStyle w:val="FootnoteReference"/>
        </w:rPr>
        <w:footnoteRef/>
      </w:r>
      <w:r w:rsidRPr="00AD4C30">
        <w:t xml:space="preserve"> </w:t>
      </w:r>
      <w:r w:rsidRPr="00AD4C30">
        <w:rPr>
          <w:lang w:val="en-ZA"/>
        </w:rPr>
        <w:t xml:space="preserve">S Teichner ‘The Hate Speech Provisions of the Promotion of Equality and Prevention of Unfair Discrimination Act 4 of 2000: The Good, The Bad and The Ugly’ (2003) 19 </w:t>
      </w:r>
      <w:r w:rsidRPr="00AD4C30">
        <w:rPr>
          <w:i/>
          <w:lang w:val="en-ZA"/>
        </w:rPr>
        <w:t>SAJHR</w:t>
      </w:r>
      <w:r w:rsidRPr="00AD4C30">
        <w:rPr>
          <w:lang w:val="en-ZA"/>
        </w:rPr>
        <w:t xml:space="preserve"> 349 at 353, 372.</w:t>
      </w:r>
    </w:p>
  </w:footnote>
  <w:footnote w:id="16">
    <w:p w:rsidR="000775A0" w:rsidRPr="00AD4C30" w:rsidRDefault="000775A0" w:rsidP="00BC102C">
      <w:pPr>
        <w:pStyle w:val="FootnoteText"/>
        <w:jc w:val="both"/>
        <w:rPr>
          <w:lang w:val="en-ZA"/>
        </w:rPr>
      </w:pPr>
      <w:r w:rsidRPr="00AD4C30">
        <w:rPr>
          <w:rStyle w:val="FootnoteReference"/>
        </w:rPr>
        <w:footnoteRef/>
      </w:r>
      <w:r w:rsidRPr="00AD4C30">
        <w:t xml:space="preserve"> For a useful discussion, see I Currie &amp; J De Waal </w:t>
      </w:r>
      <w:r w:rsidRPr="00AD4C30">
        <w:rPr>
          <w:i/>
        </w:rPr>
        <w:t xml:space="preserve">The Bill of Rights Handbook </w:t>
      </w:r>
      <w:r w:rsidRPr="00AD4C30">
        <w:t>6 ed (2013) at 354-361.</w:t>
      </w:r>
    </w:p>
  </w:footnote>
  <w:footnote w:id="17">
    <w:p w:rsidR="000775A0" w:rsidRPr="00AD4C30" w:rsidRDefault="000775A0">
      <w:pPr>
        <w:pStyle w:val="FootnoteText"/>
        <w:rPr>
          <w:lang w:val="en-ZA"/>
        </w:rPr>
      </w:pPr>
      <w:r w:rsidRPr="00AD4C30">
        <w:rPr>
          <w:rStyle w:val="FootnoteReference"/>
        </w:rPr>
        <w:footnoteRef/>
      </w:r>
      <w:r w:rsidRPr="00AD4C30">
        <w:t xml:space="preserve"> </w:t>
      </w:r>
      <w:r w:rsidRPr="00AD4C30">
        <w:rPr>
          <w:bCs/>
          <w:i/>
          <w:lang w:val="en-GB"/>
        </w:rPr>
        <w:t>Islamic Unity Convention v Independent Broadcasting Authority &amp; others</w:t>
      </w:r>
      <w:r w:rsidRPr="00AD4C30">
        <w:rPr>
          <w:bCs/>
          <w:lang w:val="en-GB"/>
        </w:rPr>
        <w:t xml:space="preserve"> [2002] ZACC 3; </w:t>
      </w:r>
      <w:r w:rsidRPr="00AD4C30">
        <w:rPr>
          <w:bCs/>
        </w:rPr>
        <w:t>2002 (4) SA 294 (CC).</w:t>
      </w:r>
    </w:p>
  </w:footnote>
  <w:footnote w:id="18">
    <w:p w:rsidR="000775A0" w:rsidRPr="00AD4C30" w:rsidRDefault="000775A0">
      <w:pPr>
        <w:pStyle w:val="FootnoteText"/>
        <w:rPr>
          <w:lang w:val="en-ZA"/>
        </w:rPr>
      </w:pPr>
      <w:r w:rsidRPr="00AD4C30">
        <w:rPr>
          <w:rStyle w:val="FootnoteReference"/>
        </w:rPr>
        <w:footnoteRef/>
      </w:r>
      <w:r w:rsidRPr="00AD4C30">
        <w:t xml:space="preserve"> </w:t>
      </w:r>
      <w:r w:rsidRPr="00AD4C30">
        <w:rPr>
          <w:i/>
        </w:rPr>
        <w:t xml:space="preserve">South African National Defence Union v Minister of Defence &amp; another </w:t>
      </w:r>
      <w:r w:rsidRPr="00AD4C30">
        <w:rPr>
          <w:bCs/>
        </w:rPr>
        <w:t>1999 (4) SA 469 (CC).</w:t>
      </w:r>
    </w:p>
  </w:footnote>
  <w:footnote w:id="19">
    <w:p w:rsidR="000775A0" w:rsidRPr="00AD4C30" w:rsidRDefault="000775A0" w:rsidP="000F5A7E">
      <w:pPr>
        <w:pStyle w:val="FootnoteText"/>
        <w:jc w:val="both"/>
        <w:rPr>
          <w:lang w:val="en-ZA"/>
        </w:rPr>
      </w:pPr>
      <w:r w:rsidRPr="00AD4C30">
        <w:rPr>
          <w:rStyle w:val="FootnoteReference"/>
        </w:rPr>
        <w:footnoteRef/>
      </w:r>
      <w:r w:rsidRPr="00AD4C30">
        <w:t xml:space="preserve"> </w:t>
      </w:r>
      <w:r w:rsidRPr="00AD4C30">
        <w:rPr>
          <w:i/>
        </w:rPr>
        <w:t xml:space="preserve">S v Mamabolo (E TV and others intervening) </w:t>
      </w:r>
      <w:r w:rsidRPr="00AD4C30">
        <w:rPr>
          <w:bCs/>
        </w:rPr>
        <w:t>2001 (3) SA 409 (CC), para 37.</w:t>
      </w:r>
    </w:p>
  </w:footnote>
  <w:footnote w:id="20">
    <w:p w:rsidR="000775A0" w:rsidRPr="00AD4C30" w:rsidRDefault="000775A0" w:rsidP="000F5A7E">
      <w:pPr>
        <w:pStyle w:val="FootnoteText"/>
        <w:jc w:val="both"/>
        <w:rPr>
          <w:bCs/>
        </w:rPr>
      </w:pPr>
      <w:r w:rsidRPr="00AD4C30">
        <w:rPr>
          <w:rStyle w:val="FootnoteReference"/>
        </w:rPr>
        <w:footnoteRef/>
      </w:r>
      <w:r w:rsidRPr="00AD4C30">
        <w:t xml:space="preserve"> </w:t>
      </w:r>
      <w:r w:rsidRPr="00AD4C30">
        <w:rPr>
          <w:bCs/>
          <w:i/>
          <w:lang w:val="en-GB"/>
        </w:rPr>
        <w:t>Handyside v The United Kingdom</w:t>
      </w:r>
      <w:r w:rsidRPr="00AD4C30">
        <w:rPr>
          <w:bCs/>
          <w:lang w:val="en-GB"/>
        </w:rPr>
        <w:t xml:space="preserve"> </w:t>
      </w:r>
      <w:r w:rsidRPr="00AD4C30">
        <w:rPr>
          <w:bCs/>
        </w:rPr>
        <w:t xml:space="preserve">(1976) 1 EHRR 737 at 754. See also </w:t>
      </w:r>
      <w:r w:rsidRPr="00AD4C30">
        <w:rPr>
          <w:bCs/>
          <w:i/>
        </w:rPr>
        <w:t xml:space="preserve">United States v Schwimmer </w:t>
      </w:r>
      <w:r w:rsidRPr="00AD4C30">
        <w:rPr>
          <w:bCs/>
        </w:rPr>
        <w:t>279 US 644 (1929) where Holmes J stated:</w:t>
      </w:r>
    </w:p>
    <w:p w:rsidR="000775A0" w:rsidRPr="00AD4C30" w:rsidRDefault="000775A0" w:rsidP="000F5A7E">
      <w:pPr>
        <w:pStyle w:val="FootnoteText"/>
        <w:jc w:val="both"/>
        <w:rPr>
          <w:bCs/>
        </w:rPr>
      </w:pPr>
      <w:r w:rsidRPr="00AD4C30">
        <w:rPr>
          <w:bCs/>
        </w:rPr>
        <w:t>‘If there is any principle of the Constitution that more imperatively calls for attachment than any other, it is the principle of free thought – not free thought for those who agree with us but freedom for the thought that we hate.’</w:t>
      </w:r>
    </w:p>
  </w:footnote>
  <w:footnote w:id="21">
    <w:p w:rsidR="000775A0" w:rsidRPr="00AD4C30" w:rsidRDefault="000775A0" w:rsidP="000F5A7E">
      <w:pPr>
        <w:rPr>
          <w:lang w:val="en-ZA"/>
        </w:rPr>
      </w:pPr>
      <w:r w:rsidRPr="00AD4C30">
        <w:rPr>
          <w:rStyle w:val="FootnoteReference"/>
          <w:sz w:val="20"/>
          <w:szCs w:val="20"/>
        </w:rPr>
        <w:footnoteRef/>
      </w:r>
      <w:r w:rsidRPr="00AD4C30">
        <w:rPr>
          <w:sz w:val="20"/>
          <w:szCs w:val="20"/>
        </w:rPr>
        <w:t xml:space="preserve"> </w:t>
      </w:r>
      <w:r w:rsidRPr="00AD4C30">
        <w:rPr>
          <w:sz w:val="20"/>
          <w:szCs w:val="20"/>
          <w:lang w:val="en-ZA"/>
        </w:rPr>
        <w:t xml:space="preserve">Paras 29 and 30. </w:t>
      </w:r>
      <w:r w:rsidRPr="00AD4C30">
        <w:rPr>
          <w:bCs/>
          <w:sz w:val="20"/>
          <w:szCs w:val="20"/>
        </w:rPr>
        <w:t xml:space="preserve">(My emphasis; footnotes omitted.) </w:t>
      </w:r>
    </w:p>
  </w:footnote>
  <w:footnote w:id="22">
    <w:p w:rsidR="000775A0" w:rsidRPr="00AD4C30" w:rsidRDefault="000775A0" w:rsidP="000F5A7E">
      <w:pPr>
        <w:pStyle w:val="FootnoteText"/>
        <w:rPr>
          <w:lang w:val="en-ZA"/>
        </w:rPr>
      </w:pPr>
      <w:r w:rsidRPr="00AD4C30">
        <w:rPr>
          <w:rStyle w:val="FootnoteReference"/>
        </w:rPr>
        <w:footnoteRef/>
      </w:r>
      <w:r w:rsidRPr="00AD4C30">
        <w:t xml:space="preserve"> </w:t>
      </w:r>
      <w:r w:rsidRPr="00AD4C30">
        <w:rPr>
          <w:lang w:val="en-ZA"/>
        </w:rPr>
        <w:t>Paras 31 and 32.</w:t>
      </w:r>
    </w:p>
  </w:footnote>
  <w:footnote w:id="23">
    <w:p w:rsidR="000775A0" w:rsidRPr="00AD4C30" w:rsidRDefault="000775A0" w:rsidP="007E2459">
      <w:pPr>
        <w:pStyle w:val="FootnoteText"/>
        <w:jc w:val="both"/>
        <w:rPr>
          <w:lang w:val="en-ZA"/>
        </w:rPr>
      </w:pPr>
      <w:r w:rsidRPr="00AD4C30">
        <w:rPr>
          <w:rStyle w:val="FootnoteReference"/>
        </w:rPr>
        <w:footnoteRef/>
      </w:r>
      <w:r w:rsidRPr="00AD4C30">
        <w:t xml:space="preserve"> </w:t>
      </w:r>
      <w:r w:rsidRPr="00AD4C30">
        <w:rPr>
          <w:lang w:val="en-ZA"/>
        </w:rPr>
        <w:t>Section 192 of the Constitution provides:</w:t>
      </w:r>
    </w:p>
    <w:p w:rsidR="000775A0" w:rsidRPr="00AD4C30" w:rsidRDefault="000775A0" w:rsidP="007E2459">
      <w:pPr>
        <w:pStyle w:val="FootnoteText"/>
        <w:jc w:val="both"/>
        <w:rPr>
          <w:lang w:val="en-ZA"/>
        </w:rPr>
      </w:pPr>
      <w:r w:rsidRPr="00AD4C30">
        <w:rPr>
          <w:lang w:val="en-ZA"/>
        </w:rPr>
        <w:t>‘National legislation must establish an independent authority to regulate broadcasting in the public interest, and to ensure fairness and a diversity of views broadly representing South African society.’</w:t>
      </w:r>
    </w:p>
  </w:footnote>
  <w:footnote w:id="24">
    <w:p w:rsidR="000775A0" w:rsidRPr="00AD4C30" w:rsidRDefault="000775A0" w:rsidP="00C74398">
      <w:pPr>
        <w:pStyle w:val="FootnoteText"/>
        <w:jc w:val="both"/>
        <w:rPr>
          <w:lang w:val="en-ZA"/>
        </w:rPr>
      </w:pPr>
      <w:r w:rsidRPr="00AD4C30">
        <w:rPr>
          <w:rStyle w:val="FootnoteReference"/>
        </w:rPr>
        <w:footnoteRef/>
      </w:r>
      <w:r w:rsidRPr="00AD4C30">
        <w:t xml:space="preserve"> </w:t>
      </w:r>
      <w:r w:rsidRPr="00AD4C30">
        <w:rPr>
          <w:lang w:val="en-ZA"/>
        </w:rPr>
        <w:t>Para 35.</w:t>
      </w:r>
    </w:p>
  </w:footnote>
  <w:footnote w:id="25">
    <w:p w:rsidR="000775A0" w:rsidRPr="00AD4C30" w:rsidRDefault="000775A0">
      <w:pPr>
        <w:pStyle w:val="FootnoteText"/>
        <w:rPr>
          <w:lang w:val="en-ZA"/>
        </w:rPr>
      </w:pPr>
      <w:r w:rsidRPr="00AD4C30">
        <w:rPr>
          <w:rStyle w:val="FootnoteReference"/>
        </w:rPr>
        <w:footnoteRef/>
      </w:r>
      <w:r w:rsidRPr="00AD4C30">
        <w:t xml:space="preserve"> </w:t>
      </w:r>
      <w:r w:rsidRPr="00AD4C30">
        <w:rPr>
          <w:lang w:val="en-ZA"/>
        </w:rPr>
        <w:t>Para 35.</w:t>
      </w:r>
    </w:p>
  </w:footnote>
  <w:footnote w:id="26">
    <w:p w:rsidR="000775A0" w:rsidRPr="00AD4C30" w:rsidRDefault="000775A0" w:rsidP="00804C90">
      <w:pPr>
        <w:pStyle w:val="FootnoteText"/>
        <w:jc w:val="both"/>
        <w:rPr>
          <w:lang w:val="en-ZA"/>
        </w:rPr>
      </w:pPr>
      <w:r w:rsidRPr="00AD4C30">
        <w:rPr>
          <w:rStyle w:val="FootnoteReference"/>
        </w:rPr>
        <w:footnoteRef/>
      </w:r>
      <w:r w:rsidRPr="00AD4C30">
        <w:t xml:space="preserve"> </w:t>
      </w:r>
      <w:r w:rsidRPr="00AD4C30">
        <w:rPr>
          <w:lang w:val="en-ZA"/>
        </w:rPr>
        <w:t xml:space="preserve">In para 38 of </w:t>
      </w:r>
      <w:r w:rsidRPr="00AD4C30">
        <w:rPr>
          <w:i/>
          <w:lang w:val="en-ZA"/>
        </w:rPr>
        <w:t>Islamic Unity</w:t>
      </w:r>
      <w:r w:rsidRPr="00AD4C30">
        <w:rPr>
          <w:lang w:val="en-ZA"/>
        </w:rPr>
        <w:t>, the court said the following:</w:t>
      </w:r>
    </w:p>
    <w:p w:rsidR="000775A0" w:rsidRPr="00AD4C30" w:rsidRDefault="000775A0" w:rsidP="00804C90">
      <w:pPr>
        <w:pStyle w:val="FootnoteText"/>
        <w:jc w:val="both"/>
        <w:rPr>
          <w:lang w:val="en-ZA"/>
        </w:rPr>
      </w:pPr>
      <w:r w:rsidRPr="00AD4C30">
        <w:rPr>
          <w:lang w:val="en-ZA"/>
        </w:rPr>
        <w:t>‘Section 36(1) of the Constitution sets out the criteria for the limitation of rights. The limitation must be by means of a law of general application and determining what is fair and reasonable is an exercise in proportionality, involving the weighing up of various factors in a balancing exercise to determine whether or not the limitation is reasonable and justifiable in an open and democratic society founded on human dignity, equality and freedom.’</w:t>
      </w:r>
    </w:p>
  </w:footnote>
  <w:footnote w:id="27">
    <w:p w:rsidR="000775A0" w:rsidRPr="00AD4C30" w:rsidRDefault="000775A0" w:rsidP="006069A6">
      <w:pPr>
        <w:pStyle w:val="FootnoteText"/>
        <w:jc w:val="both"/>
        <w:rPr>
          <w:lang w:val="en-ZA"/>
        </w:rPr>
      </w:pPr>
      <w:r w:rsidRPr="00AD4C30">
        <w:rPr>
          <w:rStyle w:val="FootnoteReference"/>
        </w:rPr>
        <w:footnoteRef/>
      </w:r>
      <w:r w:rsidRPr="00AD4C30">
        <w:t xml:space="preserve"> </w:t>
      </w:r>
      <w:r w:rsidRPr="00AD4C30">
        <w:rPr>
          <w:lang w:val="en-ZA"/>
        </w:rPr>
        <w:t xml:space="preserve">See para 42 of </w:t>
      </w:r>
      <w:r w:rsidRPr="00AD4C30">
        <w:rPr>
          <w:i/>
          <w:lang w:val="en-ZA"/>
        </w:rPr>
        <w:t>Islamic Unity Convention v Independent Broadcasting Authority</w:t>
      </w:r>
      <w:r w:rsidRPr="00AD4C30">
        <w:rPr>
          <w:lang w:val="en-ZA"/>
        </w:rPr>
        <w:t xml:space="preserve"> 2002 (4) SA 294 (CC).</w:t>
      </w:r>
    </w:p>
  </w:footnote>
  <w:footnote w:id="28">
    <w:p w:rsidR="000775A0" w:rsidRPr="00AD4C30" w:rsidRDefault="000775A0">
      <w:pPr>
        <w:pStyle w:val="FootnoteText"/>
        <w:rPr>
          <w:lang w:val="en-ZA"/>
        </w:rPr>
      </w:pPr>
      <w:r w:rsidRPr="00AD4C30">
        <w:rPr>
          <w:rStyle w:val="FootnoteReference"/>
        </w:rPr>
        <w:footnoteRef/>
      </w:r>
      <w:r w:rsidRPr="00AD4C30">
        <w:t xml:space="preserve"> (My emphasis.)</w:t>
      </w:r>
    </w:p>
  </w:footnote>
  <w:footnote w:id="29">
    <w:p w:rsidR="000775A0" w:rsidRPr="00AD4C30" w:rsidRDefault="000775A0" w:rsidP="001B4D82">
      <w:pPr>
        <w:pStyle w:val="FootnoteText"/>
        <w:jc w:val="both"/>
        <w:rPr>
          <w:lang w:val="en-ZA"/>
        </w:rPr>
      </w:pPr>
      <w:r w:rsidRPr="00AD4C30">
        <w:rPr>
          <w:rStyle w:val="FootnoteReference"/>
        </w:rPr>
        <w:footnoteRef/>
      </w:r>
      <w:r w:rsidRPr="00AD4C30">
        <w:t xml:space="preserve"> </w:t>
      </w:r>
      <w:r w:rsidRPr="00AD4C30">
        <w:rPr>
          <w:bCs/>
        </w:rPr>
        <w:t>(My emphasis.)</w:t>
      </w:r>
    </w:p>
  </w:footnote>
  <w:footnote w:id="30">
    <w:p w:rsidR="000775A0" w:rsidRPr="00AD4C30" w:rsidRDefault="000775A0" w:rsidP="001B4D82">
      <w:pPr>
        <w:pStyle w:val="FootnoteText"/>
        <w:jc w:val="both"/>
        <w:rPr>
          <w:lang w:val="en-ZA"/>
        </w:rPr>
      </w:pPr>
      <w:r w:rsidRPr="00AD4C30">
        <w:rPr>
          <w:rStyle w:val="FootnoteReference"/>
        </w:rPr>
        <w:footnoteRef/>
      </w:r>
      <w:r w:rsidRPr="00AD4C30">
        <w:t xml:space="preserve"> </w:t>
      </w:r>
      <w:r w:rsidRPr="00AD4C30">
        <w:rPr>
          <w:i/>
          <w:lang w:val="en-ZA"/>
        </w:rPr>
        <w:t>Laugh It Off Promotions CC v SAB International (Finance) BV t/a Sabmark International (Freedom of Expression Institute as Amicus Curiae)</w:t>
      </w:r>
      <w:r w:rsidRPr="00AD4C30">
        <w:rPr>
          <w:lang w:val="en-ZA"/>
        </w:rPr>
        <w:t xml:space="preserve"> [2005] ZACC 7; 2006 (1) SA 144 (CC) para 47.</w:t>
      </w:r>
    </w:p>
  </w:footnote>
  <w:footnote w:id="31">
    <w:p w:rsidR="000775A0" w:rsidRPr="001B4D82" w:rsidRDefault="000775A0" w:rsidP="001B4D82">
      <w:pPr>
        <w:pStyle w:val="FootnoteText"/>
        <w:jc w:val="both"/>
        <w:rPr>
          <w:lang w:val="en-ZA"/>
        </w:rPr>
      </w:pPr>
      <w:r>
        <w:rPr>
          <w:rStyle w:val="FootnoteReference"/>
        </w:rPr>
        <w:footnoteRef/>
      </w:r>
      <w:r>
        <w:t xml:space="preserve"> </w:t>
      </w:r>
      <w:r w:rsidRPr="001B4D82">
        <w:rPr>
          <w:bCs/>
          <w:lang w:val="en-GB"/>
        </w:rPr>
        <w:t>Our courts have accepted that the publication of child pornography (</w:t>
      </w:r>
      <w:r w:rsidRPr="001B4D82">
        <w:rPr>
          <w:bCs/>
          <w:i/>
          <w:lang w:val="en-GB"/>
        </w:rPr>
        <w:t xml:space="preserve">De Reuck v Director of Public Prosecutions </w:t>
      </w:r>
      <w:r w:rsidRPr="001B4D82">
        <w:rPr>
          <w:bCs/>
          <w:lang w:val="en-GB"/>
        </w:rPr>
        <w:t>[2003] ZACC19; 2004 (1) SA 406 (CC) paras 48-50); commercial speech (</w:t>
      </w:r>
      <w:r w:rsidRPr="001B4D82">
        <w:rPr>
          <w:bCs/>
          <w:i/>
          <w:lang w:val="en-GB"/>
        </w:rPr>
        <w:t>City of Cape Town v Ad Outpost (Pty) Ltd</w:t>
      </w:r>
      <w:r w:rsidRPr="001B4D82">
        <w:rPr>
          <w:bCs/>
          <w:lang w:val="en-GB"/>
        </w:rPr>
        <w:t xml:space="preserve"> 2000 (2) SA 733 (C) at 748) and nude dancing (</w:t>
      </w:r>
      <w:r w:rsidRPr="001B4D82">
        <w:rPr>
          <w:bCs/>
          <w:i/>
          <w:lang w:val="en-GB"/>
        </w:rPr>
        <w:t xml:space="preserve">Phillips &amp; another v Director of Public Prosecutions, Witwatersrand Local Division &amp; others </w:t>
      </w:r>
      <w:r w:rsidRPr="001B4D82">
        <w:rPr>
          <w:bCs/>
          <w:lang w:val="en-GB"/>
        </w:rPr>
        <w:t>[2003] ZACC 1; 2003 (3) SA 345 (CC) are all capable of protection under s 16(1).</w:t>
      </w:r>
    </w:p>
  </w:footnote>
  <w:footnote w:id="32">
    <w:p w:rsidR="000775A0" w:rsidRPr="00AD4C30" w:rsidRDefault="000775A0">
      <w:pPr>
        <w:pStyle w:val="FootnoteText"/>
        <w:rPr>
          <w:lang w:val="en-ZA"/>
        </w:rPr>
      </w:pPr>
      <w:r w:rsidRPr="00AD4C30">
        <w:rPr>
          <w:rStyle w:val="FootnoteReference"/>
        </w:rPr>
        <w:footnoteRef/>
      </w:r>
      <w:r w:rsidRPr="00AD4C30">
        <w:t xml:space="preserve"> </w:t>
      </w:r>
      <w:r w:rsidRPr="00AD4C30">
        <w:rPr>
          <w:lang w:val="en-ZA"/>
        </w:rPr>
        <w:t>Section 10(2) provides:</w:t>
      </w:r>
    </w:p>
    <w:p w:rsidR="000775A0" w:rsidRPr="00AD4C30" w:rsidRDefault="000775A0" w:rsidP="00BB12CB">
      <w:pPr>
        <w:pStyle w:val="FootnoteText"/>
        <w:jc w:val="both"/>
        <w:rPr>
          <w:lang w:val="en-ZA"/>
        </w:rPr>
      </w:pPr>
      <w:r w:rsidRPr="00AD4C30">
        <w:rPr>
          <w:lang w:val="en-ZA"/>
        </w:rPr>
        <w:t>‘Without prejudice to any remedies of a civil nature under this Act, the court may, in accordance with s</w:t>
      </w:r>
      <w:r>
        <w:rPr>
          <w:lang w:val="en-ZA"/>
        </w:rPr>
        <w:t> </w:t>
      </w:r>
      <w:r w:rsidRPr="00AD4C30">
        <w:rPr>
          <w:lang w:val="en-ZA"/>
        </w:rPr>
        <w:t>21(2)</w:t>
      </w:r>
      <w:r w:rsidRPr="00AD4C30">
        <w:rPr>
          <w:i/>
          <w:lang w:val="en-ZA"/>
        </w:rPr>
        <w:t>(n)</w:t>
      </w:r>
      <w:r w:rsidRPr="00AD4C30">
        <w:rPr>
          <w:lang w:val="en-ZA"/>
        </w:rPr>
        <w:t xml:space="preserve"> and where appropriate, refer any case dealing with the publication, advocacy, propagation or communication of hate speech as contemplated in subsection (1), to the Director of Public Prosecutions having jurisdiction for the institution of criminal proceedings in terms of the common law or relevant legislation.’</w:t>
      </w:r>
    </w:p>
  </w:footnote>
  <w:footnote w:id="33">
    <w:p w:rsidR="000775A0" w:rsidRPr="00AD4C30" w:rsidRDefault="000775A0" w:rsidP="00CB6878">
      <w:pPr>
        <w:pStyle w:val="FootnoteText"/>
        <w:jc w:val="both"/>
        <w:rPr>
          <w:lang w:val="en-ZA"/>
        </w:rPr>
      </w:pPr>
      <w:r w:rsidRPr="00AD4C30">
        <w:rPr>
          <w:rStyle w:val="FootnoteReference"/>
        </w:rPr>
        <w:footnoteRef/>
      </w:r>
      <w:r w:rsidRPr="00AD4C30">
        <w:t xml:space="preserve"> </w:t>
      </w:r>
      <w:r w:rsidRPr="00AD4C30">
        <w:rPr>
          <w:lang w:val="en-ZA"/>
        </w:rPr>
        <w:t>See s 3(2)</w:t>
      </w:r>
      <w:r w:rsidRPr="00AD4C30">
        <w:rPr>
          <w:i/>
          <w:lang w:val="en-ZA"/>
        </w:rPr>
        <w:t>(b)</w:t>
      </w:r>
      <w:r w:rsidRPr="00AD4C30">
        <w:rPr>
          <w:lang w:val="en-ZA"/>
        </w:rPr>
        <w:t xml:space="preserve"> and </w:t>
      </w:r>
      <w:r w:rsidRPr="00AD4C30">
        <w:rPr>
          <w:i/>
          <w:lang w:val="en-ZA"/>
        </w:rPr>
        <w:t>(c)</w:t>
      </w:r>
      <w:r w:rsidRPr="00AD4C30">
        <w:rPr>
          <w:lang w:val="en-ZA"/>
        </w:rPr>
        <w:t xml:space="preserve"> of PEPUDA. Section 2</w:t>
      </w:r>
      <w:r w:rsidRPr="00AD4C30">
        <w:rPr>
          <w:i/>
          <w:lang w:val="en-ZA"/>
        </w:rPr>
        <w:t>(h)</w:t>
      </w:r>
      <w:r w:rsidRPr="00AD4C30">
        <w:rPr>
          <w:lang w:val="en-ZA"/>
        </w:rPr>
        <w:t xml:space="preserve"> states that one of the objects of PEPUDA is to facilitate further compliance with international law obligations including treaty obligations in terms of, amongst others, the Convention on the Elimination of All Forms of Racial Discrimination and the Convention on the Elimination of All Forms of Discrimination against Women.</w:t>
      </w:r>
    </w:p>
  </w:footnote>
  <w:footnote w:id="34">
    <w:p w:rsidR="000775A0" w:rsidRPr="00AD4C30" w:rsidRDefault="000775A0" w:rsidP="00DA6521">
      <w:pPr>
        <w:pStyle w:val="FootnoteText"/>
        <w:jc w:val="both"/>
        <w:rPr>
          <w:lang w:val="en-ZA"/>
        </w:rPr>
      </w:pPr>
      <w:r w:rsidRPr="00AD4C30">
        <w:rPr>
          <w:rStyle w:val="FootnoteReference"/>
        </w:rPr>
        <w:footnoteRef/>
      </w:r>
      <w:r w:rsidRPr="00AD4C30">
        <w:t xml:space="preserve"> </w:t>
      </w:r>
      <w:r>
        <w:rPr>
          <w:lang w:val="en-ZA"/>
        </w:rPr>
        <w:t>For a</w:t>
      </w:r>
      <w:r w:rsidRPr="00AD4C30">
        <w:rPr>
          <w:lang w:val="en-ZA"/>
        </w:rPr>
        <w:t xml:space="preserve"> useful discussion on international regulation of hate speech, see T J Webb ‘Verbal Poison – Criminalizing Hate Speech: A Comparative Analysis and a Proposal for the American System’</w:t>
      </w:r>
      <w:r>
        <w:rPr>
          <w:lang w:val="en-ZA"/>
        </w:rPr>
        <w:t>(2011) 50</w:t>
      </w:r>
      <w:r w:rsidRPr="00AD4C30">
        <w:rPr>
          <w:lang w:val="en-ZA"/>
        </w:rPr>
        <w:t xml:space="preserve"> </w:t>
      </w:r>
      <w:r w:rsidRPr="00AD4C30">
        <w:rPr>
          <w:i/>
          <w:lang w:val="en-ZA"/>
        </w:rPr>
        <w:t>Washburn LJ</w:t>
      </w:r>
      <w:r w:rsidRPr="00AD4C30">
        <w:rPr>
          <w:lang w:val="en-ZA"/>
        </w:rPr>
        <w:t xml:space="preserve"> at 445. </w:t>
      </w:r>
    </w:p>
  </w:footnote>
  <w:footnote w:id="35">
    <w:p w:rsidR="000775A0" w:rsidRPr="00D6291C" w:rsidRDefault="000775A0">
      <w:pPr>
        <w:pStyle w:val="FootnoteText"/>
        <w:rPr>
          <w:lang w:val="en-ZA"/>
        </w:rPr>
      </w:pPr>
      <w:r>
        <w:rPr>
          <w:rStyle w:val="FootnoteReference"/>
        </w:rPr>
        <w:footnoteRef/>
      </w:r>
      <w:r>
        <w:t xml:space="preserve"> </w:t>
      </w:r>
      <w:r>
        <w:rPr>
          <w:lang w:val="en-ZA"/>
        </w:rPr>
        <w:t>Universal Declaration of Human Rights (adopted 10 December 1948) UNGA Res 217 A(III)</w:t>
      </w:r>
    </w:p>
  </w:footnote>
  <w:footnote w:id="36">
    <w:p w:rsidR="000775A0" w:rsidRPr="00AD4C30" w:rsidRDefault="000775A0" w:rsidP="00DA6521">
      <w:pPr>
        <w:pStyle w:val="FootnoteText"/>
        <w:jc w:val="both"/>
        <w:rPr>
          <w:lang w:val="en-ZA"/>
        </w:rPr>
      </w:pPr>
      <w:r w:rsidRPr="00AD4C30">
        <w:rPr>
          <w:rStyle w:val="FootnoteReference"/>
        </w:rPr>
        <w:footnoteRef/>
      </w:r>
      <w:r w:rsidRPr="00AD4C30">
        <w:t xml:space="preserve"> </w:t>
      </w:r>
      <w:r w:rsidRPr="00AD4C30">
        <w:rPr>
          <w:lang w:val="en-ZA"/>
        </w:rPr>
        <w:t xml:space="preserve">Preamble, Art 1. </w:t>
      </w:r>
    </w:p>
  </w:footnote>
  <w:footnote w:id="37">
    <w:p w:rsidR="000775A0" w:rsidRPr="00D6291C" w:rsidRDefault="000775A0">
      <w:pPr>
        <w:pStyle w:val="FootnoteText"/>
        <w:rPr>
          <w:lang w:val="en-ZA"/>
        </w:rPr>
      </w:pPr>
      <w:r>
        <w:rPr>
          <w:rStyle w:val="FootnoteReference"/>
        </w:rPr>
        <w:footnoteRef/>
      </w:r>
      <w:r>
        <w:t xml:space="preserve"> </w:t>
      </w:r>
      <w:r>
        <w:rPr>
          <w:lang w:val="en-ZA"/>
        </w:rPr>
        <w:t>Article 29.</w:t>
      </w:r>
    </w:p>
  </w:footnote>
  <w:footnote w:id="38">
    <w:p w:rsidR="000775A0" w:rsidRPr="00D6291C" w:rsidRDefault="000775A0">
      <w:pPr>
        <w:pStyle w:val="FootnoteText"/>
        <w:rPr>
          <w:lang w:val="en-ZA"/>
        </w:rPr>
      </w:pPr>
      <w:r>
        <w:rPr>
          <w:rStyle w:val="FootnoteReference"/>
        </w:rPr>
        <w:footnoteRef/>
      </w:r>
      <w:r>
        <w:t xml:space="preserve"> </w:t>
      </w:r>
      <w:r>
        <w:rPr>
          <w:lang w:val="en-ZA"/>
        </w:rPr>
        <w:t>Article 7.</w:t>
      </w:r>
    </w:p>
  </w:footnote>
  <w:footnote w:id="39">
    <w:p w:rsidR="000775A0" w:rsidRPr="00AD4C30" w:rsidRDefault="000775A0" w:rsidP="00DA6521">
      <w:pPr>
        <w:pStyle w:val="FootnoteText"/>
        <w:jc w:val="both"/>
        <w:rPr>
          <w:lang w:val="en-ZA"/>
        </w:rPr>
      </w:pPr>
      <w:r w:rsidRPr="00AD4C30">
        <w:rPr>
          <w:rStyle w:val="FootnoteReference"/>
        </w:rPr>
        <w:footnoteRef/>
      </w:r>
      <w:r w:rsidRPr="00AD4C30">
        <w:t xml:space="preserve"> </w:t>
      </w:r>
      <w:r>
        <w:t>International Covenant on Civil and Political Rights (adopted 16 December 1966, entered into force 23 March 1976) 999 UNTS 171.</w:t>
      </w:r>
    </w:p>
  </w:footnote>
  <w:footnote w:id="40">
    <w:p w:rsidR="000775A0" w:rsidRPr="00D6291C" w:rsidRDefault="000775A0">
      <w:pPr>
        <w:pStyle w:val="FootnoteText"/>
        <w:rPr>
          <w:lang w:val="en-ZA"/>
        </w:rPr>
      </w:pPr>
      <w:r>
        <w:rPr>
          <w:rStyle w:val="FootnoteReference"/>
        </w:rPr>
        <w:footnoteRef/>
      </w:r>
      <w:r>
        <w:t xml:space="preserve"> </w:t>
      </w:r>
      <w:r>
        <w:rPr>
          <w:lang w:val="en-ZA"/>
        </w:rPr>
        <w:t>European Convention for the Protection of Human Rights and Fundamental Freedoms (adopted 4 November 1950, entered into force 3 September 1953) ETS 5.</w:t>
      </w:r>
    </w:p>
  </w:footnote>
  <w:footnote w:id="41">
    <w:p w:rsidR="000775A0" w:rsidRPr="00AD4C30" w:rsidRDefault="000775A0" w:rsidP="00C71321">
      <w:pPr>
        <w:pStyle w:val="FootnoteText"/>
        <w:jc w:val="both"/>
        <w:rPr>
          <w:lang w:val="en-ZA"/>
        </w:rPr>
      </w:pPr>
      <w:r w:rsidRPr="00AD4C30">
        <w:rPr>
          <w:rStyle w:val="FootnoteReference"/>
        </w:rPr>
        <w:footnoteRef/>
      </w:r>
      <w:r w:rsidRPr="00AD4C30">
        <w:t xml:space="preserve"> </w:t>
      </w:r>
      <w:r w:rsidRPr="00AD4C30">
        <w:rPr>
          <w:lang w:val="en-ZA"/>
        </w:rPr>
        <w:t xml:space="preserve">In this regard see para 33 of </w:t>
      </w:r>
      <w:r w:rsidRPr="00AD4C30">
        <w:rPr>
          <w:i/>
          <w:lang w:val="en-ZA"/>
        </w:rPr>
        <w:t>Islamic Unity</w:t>
      </w:r>
      <w:r w:rsidRPr="00AD4C30">
        <w:rPr>
          <w:lang w:val="en-ZA"/>
        </w:rPr>
        <w:t>.</w:t>
      </w:r>
    </w:p>
  </w:footnote>
  <w:footnote w:id="42">
    <w:p w:rsidR="000775A0" w:rsidRPr="00AD4C30" w:rsidRDefault="000775A0" w:rsidP="00C71321">
      <w:pPr>
        <w:pStyle w:val="FootnoteText"/>
        <w:jc w:val="both"/>
        <w:rPr>
          <w:lang w:val="en-ZA"/>
        </w:rPr>
      </w:pPr>
      <w:r w:rsidRPr="00AD4C30">
        <w:rPr>
          <w:rStyle w:val="FootnoteReference"/>
        </w:rPr>
        <w:footnoteRef/>
      </w:r>
      <w:r w:rsidRPr="00AD4C30">
        <w:t xml:space="preserve"> </w:t>
      </w:r>
      <w:r w:rsidRPr="00AD4C30">
        <w:rPr>
          <w:lang w:val="en-ZA"/>
        </w:rPr>
        <w:t>Section 10 of the Constitution reads as follows:</w:t>
      </w:r>
    </w:p>
    <w:p w:rsidR="000775A0" w:rsidRPr="00AD4C30" w:rsidRDefault="000775A0" w:rsidP="00554FCC">
      <w:pPr>
        <w:pStyle w:val="FootnoteText"/>
        <w:jc w:val="both"/>
        <w:rPr>
          <w:lang w:val="en-ZA"/>
        </w:rPr>
      </w:pPr>
      <w:r w:rsidRPr="00AD4C30">
        <w:rPr>
          <w:lang w:val="en-ZA"/>
        </w:rPr>
        <w:t>‘Everyone has inherent dignity and the right to have their dignity respected and protected.’</w:t>
      </w:r>
    </w:p>
  </w:footnote>
  <w:footnote w:id="43">
    <w:p w:rsidR="000775A0" w:rsidRPr="00AD4C30" w:rsidRDefault="000775A0" w:rsidP="00554FCC">
      <w:pPr>
        <w:pStyle w:val="FootnoteText"/>
        <w:jc w:val="both"/>
        <w:rPr>
          <w:lang w:val="en-ZA"/>
        </w:rPr>
      </w:pPr>
      <w:r w:rsidRPr="00AD4C30">
        <w:rPr>
          <w:rStyle w:val="FootnoteReference"/>
        </w:rPr>
        <w:footnoteRef/>
      </w:r>
      <w:r w:rsidRPr="00AD4C30">
        <w:t xml:space="preserve"> </w:t>
      </w:r>
      <w:r w:rsidRPr="00AD4C30">
        <w:rPr>
          <w:lang w:val="en-ZA"/>
        </w:rPr>
        <w:t>Section 39(2) and (3) of the Constitution read as follows:</w:t>
      </w:r>
    </w:p>
    <w:p w:rsidR="000775A0" w:rsidRPr="00AD4C30" w:rsidRDefault="000775A0" w:rsidP="00554FCC">
      <w:pPr>
        <w:pStyle w:val="FootnoteText"/>
        <w:jc w:val="both"/>
        <w:rPr>
          <w:lang w:val="en-ZA"/>
        </w:rPr>
      </w:pPr>
      <w:r w:rsidRPr="00AD4C30">
        <w:rPr>
          <w:lang w:val="en-ZA"/>
        </w:rPr>
        <w:t>‘(2) When interpreting legislation, and when developing the common law or customary law, every court, tribunal or forum must promote the spirit, purport and objects of the Bill of Rights.</w:t>
      </w:r>
    </w:p>
    <w:p w:rsidR="000775A0" w:rsidRPr="00AD4C30" w:rsidRDefault="000775A0" w:rsidP="00554FCC">
      <w:pPr>
        <w:pStyle w:val="FootnoteText"/>
        <w:jc w:val="both"/>
        <w:rPr>
          <w:lang w:val="en-ZA"/>
        </w:rPr>
      </w:pPr>
      <w:r w:rsidRPr="00AD4C30">
        <w:rPr>
          <w:lang w:val="en-ZA"/>
        </w:rPr>
        <w:t>(3) The Bill of Rights does not deny the existence of any other rights or freedoms that are recognised or conferred by common law, customary law or legislation, to the extent that they are consistent with the Bill.’</w:t>
      </w:r>
    </w:p>
  </w:footnote>
  <w:footnote w:id="44">
    <w:p w:rsidR="000775A0" w:rsidRPr="00AD4C30" w:rsidRDefault="000775A0" w:rsidP="008D67CC">
      <w:pPr>
        <w:pStyle w:val="FootnoteText"/>
        <w:jc w:val="both"/>
        <w:rPr>
          <w:lang w:val="en-ZA"/>
        </w:rPr>
      </w:pPr>
      <w:r w:rsidRPr="00AD4C30">
        <w:rPr>
          <w:rStyle w:val="FootnoteReference"/>
        </w:rPr>
        <w:footnoteRef/>
      </w:r>
      <w:r w:rsidRPr="00AD4C30">
        <w:t xml:space="preserve"> </w:t>
      </w:r>
      <w:r w:rsidRPr="00AD4C30">
        <w:rPr>
          <w:lang w:val="en-ZA"/>
        </w:rPr>
        <w:t xml:space="preserve">See Teichner at 354-355. See also C Albertyn, B Goldblat and C Roedere </w:t>
      </w:r>
      <w:r w:rsidRPr="00AD4C30">
        <w:rPr>
          <w:i/>
          <w:lang w:val="en-ZA"/>
        </w:rPr>
        <w:t xml:space="preserve">Introduction to the Promotion of Equality and Prevention of Unfair Discrimination Act 4 of 2000 </w:t>
      </w:r>
      <w:r w:rsidRPr="00AD4C30">
        <w:t>ed</w:t>
      </w:r>
      <w:r w:rsidRPr="00AD4C30">
        <w:rPr>
          <w:lang w:val="en-ZA"/>
        </w:rPr>
        <w:t xml:space="preserve"> (2001</w:t>
      </w:r>
      <w:r w:rsidRPr="00AD4C30">
        <w:t xml:space="preserve">) at 94. See also Pierre de Vos ‘Why the hate speech provisions might be unconstitutional’ (2010) </w:t>
      </w:r>
      <w:r w:rsidRPr="00AD4C30">
        <w:rPr>
          <w:i/>
        </w:rPr>
        <w:t xml:space="preserve">Constitutionally Speaking, </w:t>
      </w:r>
      <w:r w:rsidRPr="00AD4C30">
        <w:t>&lt;</w:t>
      </w:r>
      <w:hyperlink r:id="rId2" w:history="1">
        <w:r w:rsidRPr="00AD4C30">
          <w:rPr>
            <w:rStyle w:val="Hyperlink"/>
            <w:rFonts w:eastAsiaTheme="majorEastAsia"/>
            <w:color w:val="auto"/>
            <w:u w:val="none"/>
          </w:rPr>
          <w:t>https://constitutionallyspeaking.co.za/why-the-hate-speech-provisions-may-be-unconstitutional/</w:t>
        </w:r>
      </w:hyperlink>
      <w:r w:rsidRPr="00AD4C30">
        <w:rPr>
          <w:rStyle w:val="Hyperlink"/>
          <w:rFonts w:eastAsiaTheme="majorEastAsia"/>
          <w:color w:val="auto"/>
          <w:u w:val="none"/>
        </w:rPr>
        <w:t>&gt;</w:t>
      </w:r>
      <w:r w:rsidRPr="00AD4C30">
        <w:t xml:space="preserve"> (accessed 25-09-2019).</w:t>
      </w:r>
    </w:p>
  </w:footnote>
  <w:footnote w:id="45">
    <w:p w:rsidR="000775A0" w:rsidRPr="001B4D82" w:rsidRDefault="000775A0">
      <w:pPr>
        <w:pStyle w:val="FootnoteText"/>
        <w:rPr>
          <w:lang w:val="en-ZA"/>
        </w:rPr>
      </w:pPr>
      <w:r>
        <w:rPr>
          <w:rStyle w:val="FootnoteReference"/>
        </w:rPr>
        <w:footnoteRef/>
      </w:r>
      <w:r>
        <w:t xml:space="preserve"> </w:t>
      </w:r>
      <w:r w:rsidRPr="001B4D82">
        <w:rPr>
          <w:bCs/>
          <w:lang w:val="en-GB"/>
        </w:rPr>
        <w:t xml:space="preserve">The finding in </w:t>
      </w:r>
      <w:r w:rsidRPr="001B4D82">
        <w:rPr>
          <w:bCs/>
          <w:i/>
          <w:lang w:val="en-GB"/>
        </w:rPr>
        <w:t>South African Human Rights Commission v Khumalo</w:t>
      </w:r>
      <w:r w:rsidRPr="001B4D82">
        <w:rPr>
          <w:bCs/>
          <w:lang w:val="en-GB"/>
        </w:rPr>
        <w:t xml:space="preserve"> </w:t>
      </w:r>
      <w:r>
        <w:rPr>
          <w:bCs/>
          <w:lang w:val="en-GB"/>
        </w:rPr>
        <w:t xml:space="preserve">[2018] ZAGPJHC 528; </w:t>
      </w:r>
      <w:r w:rsidRPr="001B4D82">
        <w:rPr>
          <w:bCs/>
          <w:lang w:val="en-GB"/>
        </w:rPr>
        <w:t xml:space="preserve">2019 (1) SA 289 (GJ), that the subsections are to be read conjunctively, at para 82, is therefore wrong. </w:t>
      </w:r>
    </w:p>
  </w:footnote>
  <w:footnote w:id="46">
    <w:p w:rsidR="000775A0" w:rsidRPr="00AD4C30" w:rsidRDefault="000775A0" w:rsidP="008D67CC">
      <w:pPr>
        <w:pStyle w:val="FootnoteText"/>
        <w:jc w:val="both"/>
        <w:rPr>
          <w:lang w:val="en-ZA"/>
        </w:rPr>
      </w:pPr>
      <w:r w:rsidRPr="00AD4C30">
        <w:rPr>
          <w:rStyle w:val="FootnoteReference"/>
        </w:rPr>
        <w:footnoteRef/>
      </w:r>
      <w:r w:rsidRPr="00AD4C30">
        <w:t xml:space="preserve"> </w:t>
      </w:r>
      <w:r w:rsidRPr="00AD4C30">
        <w:rPr>
          <w:lang w:val="en-ZA"/>
        </w:rPr>
        <w:t xml:space="preserve">See Albertyn </w:t>
      </w:r>
      <w:r w:rsidRPr="00AD4C30">
        <w:rPr>
          <w:i/>
          <w:lang w:val="en-ZA"/>
        </w:rPr>
        <w:t>et al</w:t>
      </w:r>
      <w:r>
        <w:rPr>
          <w:lang w:val="en-ZA"/>
        </w:rPr>
        <w:t>, fn 44</w:t>
      </w:r>
      <w:r w:rsidRPr="00AD4C30">
        <w:rPr>
          <w:lang w:val="en-ZA"/>
        </w:rPr>
        <w:t xml:space="preserve"> above, at 92 and 95-96.</w:t>
      </w:r>
    </w:p>
  </w:footnote>
  <w:footnote w:id="47">
    <w:p w:rsidR="000775A0" w:rsidRPr="00AD4C30" w:rsidRDefault="000775A0">
      <w:pPr>
        <w:pStyle w:val="FootnoteText"/>
        <w:rPr>
          <w:lang w:val="en-ZA"/>
        </w:rPr>
      </w:pPr>
      <w:r w:rsidRPr="00AD4C30">
        <w:rPr>
          <w:rStyle w:val="FootnoteReference"/>
        </w:rPr>
        <w:footnoteRef/>
      </w:r>
      <w:r w:rsidRPr="00AD4C30">
        <w:t xml:space="preserve"> </w:t>
      </w:r>
      <w:r w:rsidRPr="00AD4C30">
        <w:rPr>
          <w:bCs/>
        </w:rPr>
        <w:t>(Emphasis in original.)</w:t>
      </w:r>
    </w:p>
  </w:footnote>
  <w:footnote w:id="48">
    <w:p w:rsidR="000775A0" w:rsidRPr="00AD4C30" w:rsidRDefault="000775A0" w:rsidP="008D67CC">
      <w:pPr>
        <w:pStyle w:val="FootnoteText"/>
        <w:jc w:val="both"/>
        <w:rPr>
          <w:lang w:val="en-ZA"/>
        </w:rPr>
      </w:pPr>
      <w:r w:rsidRPr="00AD4C30">
        <w:rPr>
          <w:rStyle w:val="FootnoteReference"/>
        </w:rPr>
        <w:footnoteRef/>
      </w:r>
      <w:r w:rsidRPr="00AD4C30">
        <w:t xml:space="preserve"> </w:t>
      </w:r>
      <w:r w:rsidRPr="00AD4C30">
        <w:rPr>
          <w:lang w:val="en-ZA"/>
        </w:rPr>
        <w:t xml:space="preserve">Albertyn </w:t>
      </w:r>
      <w:r w:rsidRPr="00AD4C30">
        <w:rPr>
          <w:i/>
          <w:lang w:val="en-ZA"/>
        </w:rPr>
        <w:t>et al</w:t>
      </w:r>
      <w:r w:rsidRPr="00AD4C30">
        <w:rPr>
          <w:lang w:val="en-ZA"/>
        </w:rPr>
        <w:t>, fn</w:t>
      </w:r>
      <w:r>
        <w:rPr>
          <w:lang w:val="en-ZA"/>
        </w:rPr>
        <w:t xml:space="preserve"> 44</w:t>
      </w:r>
      <w:r w:rsidRPr="00AD4C30">
        <w:rPr>
          <w:lang w:val="en-ZA"/>
        </w:rPr>
        <w:t xml:space="preserve"> above, at 96.</w:t>
      </w:r>
    </w:p>
  </w:footnote>
  <w:footnote w:id="49">
    <w:p w:rsidR="000775A0" w:rsidRPr="00AD4C30" w:rsidRDefault="000775A0">
      <w:pPr>
        <w:pStyle w:val="FootnoteText"/>
        <w:rPr>
          <w:lang w:val="en-ZA"/>
        </w:rPr>
      </w:pPr>
      <w:r w:rsidRPr="00AD4C30">
        <w:rPr>
          <w:rStyle w:val="FootnoteReference"/>
        </w:rPr>
        <w:footnoteRef/>
      </w:r>
      <w:r w:rsidRPr="00AD4C30">
        <w:t xml:space="preserve"> </w:t>
      </w:r>
      <w:r w:rsidRPr="00AD4C30">
        <w:rPr>
          <w:bCs/>
        </w:rPr>
        <w:t xml:space="preserve">A Stevenson &amp; M Waite </w:t>
      </w:r>
      <w:r w:rsidRPr="00AD4C30">
        <w:rPr>
          <w:bCs/>
          <w:i/>
        </w:rPr>
        <w:t>Concise Oxford English Dictionary</w:t>
      </w:r>
      <w:r w:rsidRPr="00AD4C30">
        <w:rPr>
          <w:bCs/>
        </w:rPr>
        <w:t xml:space="preserve"> 12ed (2011).</w:t>
      </w:r>
    </w:p>
  </w:footnote>
  <w:footnote w:id="50">
    <w:p w:rsidR="000775A0" w:rsidRPr="00AD4C30" w:rsidRDefault="000775A0">
      <w:pPr>
        <w:pStyle w:val="FootnoteText"/>
        <w:rPr>
          <w:lang w:val="en-ZA"/>
        </w:rPr>
      </w:pPr>
      <w:r w:rsidRPr="00AD4C30">
        <w:rPr>
          <w:rStyle w:val="FootnoteReference"/>
        </w:rPr>
        <w:footnoteRef/>
      </w:r>
      <w:r w:rsidRPr="00AD4C30">
        <w:t xml:space="preserve"> </w:t>
      </w:r>
      <w:r w:rsidRPr="00AD4C30">
        <w:rPr>
          <w:i/>
          <w:lang w:val="en-ZA"/>
        </w:rPr>
        <w:t xml:space="preserve">Shorter Oxford English Dictionary on Historical Principles </w:t>
      </w:r>
      <w:r w:rsidRPr="00AD4C30">
        <w:rPr>
          <w:lang w:val="en-ZA"/>
        </w:rPr>
        <w:t>6 ed A-M (2007).</w:t>
      </w:r>
    </w:p>
  </w:footnote>
  <w:footnote w:id="51">
    <w:p w:rsidR="000775A0" w:rsidRPr="00AD4C30" w:rsidRDefault="000775A0" w:rsidP="00861858">
      <w:pPr>
        <w:pStyle w:val="FootnoteText"/>
        <w:jc w:val="both"/>
        <w:rPr>
          <w:lang w:val="en-ZA"/>
        </w:rPr>
      </w:pPr>
      <w:r w:rsidRPr="00AD4C30">
        <w:rPr>
          <w:rStyle w:val="FootnoteReference"/>
        </w:rPr>
        <w:footnoteRef/>
      </w:r>
      <w:r w:rsidRPr="00AD4C30">
        <w:t xml:space="preserve"> </w:t>
      </w:r>
      <w:r w:rsidRPr="00AD4C30">
        <w:rPr>
          <w:lang w:val="en-ZA"/>
        </w:rPr>
        <w:t xml:space="preserve">In this regard see Albertyn </w:t>
      </w:r>
      <w:r w:rsidRPr="00AD4C30">
        <w:rPr>
          <w:i/>
          <w:lang w:val="en-ZA"/>
        </w:rPr>
        <w:t>et al</w:t>
      </w:r>
      <w:r>
        <w:rPr>
          <w:lang w:val="en-ZA"/>
        </w:rPr>
        <w:t>, fn 44</w:t>
      </w:r>
      <w:r w:rsidRPr="00AD4C30">
        <w:rPr>
          <w:lang w:val="en-ZA"/>
        </w:rPr>
        <w:t xml:space="preserve"> above, at 96.</w:t>
      </w:r>
    </w:p>
  </w:footnote>
  <w:footnote w:id="52">
    <w:p w:rsidR="000775A0" w:rsidRPr="00AD4C30" w:rsidRDefault="000775A0" w:rsidP="00861858">
      <w:pPr>
        <w:pStyle w:val="FootnoteText"/>
        <w:rPr>
          <w:lang w:val="en-ZA"/>
        </w:rPr>
      </w:pPr>
      <w:r w:rsidRPr="00AD4C30">
        <w:rPr>
          <w:rStyle w:val="FootnoteReference"/>
        </w:rPr>
        <w:footnoteRef/>
      </w:r>
      <w:r w:rsidRPr="00AD4C30">
        <w:t xml:space="preserve"> </w:t>
      </w:r>
      <w:r w:rsidRPr="00AD4C30">
        <w:rPr>
          <w:lang w:val="en-ZA"/>
        </w:rPr>
        <w:t>Para 60.</w:t>
      </w:r>
    </w:p>
  </w:footnote>
  <w:footnote w:id="53">
    <w:p w:rsidR="000775A0" w:rsidRPr="00AD4C30" w:rsidRDefault="000775A0" w:rsidP="00D377E8">
      <w:pPr>
        <w:pStyle w:val="FootnoteText"/>
        <w:jc w:val="both"/>
        <w:rPr>
          <w:lang w:val="en-ZA"/>
        </w:rPr>
      </w:pPr>
      <w:r w:rsidRPr="00AD4C30">
        <w:rPr>
          <w:rStyle w:val="FootnoteReference"/>
        </w:rPr>
        <w:footnoteRef/>
      </w:r>
      <w:r>
        <w:t xml:space="preserve"> See De Vos, fn 44</w:t>
      </w:r>
      <w:r w:rsidRPr="00AD4C30">
        <w:t xml:space="preserve"> above. </w:t>
      </w:r>
    </w:p>
  </w:footnote>
  <w:footnote w:id="54">
    <w:p w:rsidR="000775A0" w:rsidRPr="00AD4C30" w:rsidRDefault="000775A0">
      <w:pPr>
        <w:pStyle w:val="FootnoteText"/>
        <w:rPr>
          <w:lang w:val="en-ZA"/>
        </w:rPr>
      </w:pPr>
      <w:r w:rsidRPr="00AD4C30">
        <w:rPr>
          <w:rStyle w:val="FootnoteReference"/>
        </w:rPr>
        <w:footnoteRef/>
      </w:r>
      <w:r w:rsidRPr="00AD4C30">
        <w:t xml:space="preserve"> </w:t>
      </w:r>
      <w:r w:rsidRPr="00AD4C30">
        <w:rPr>
          <w:lang w:val="en-ZA"/>
        </w:rPr>
        <w:t xml:space="preserve">See </w:t>
      </w:r>
      <w:r w:rsidRPr="00AD4C30">
        <w:rPr>
          <w:i/>
          <w:lang w:val="en-ZA"/>
        </w:rPr>
        <w:t>Mazibuko &amp; others v City of Johannesburg &amp; others</w:t>
      </w:r>
      <w:r w:rsidRPr="00AD4C30">
        <w:rPr>
          <w:lang w:val="en-ZA"/>
        </w:rPr>
        <w:t xml:space="preserve"> </w:t>
      </w:r>
      <w:r>
        <w:rPr>
          <w:lang w:val="en-ZA"/>
        </w:rPr>
        <w:t xml:space="preserve">[2009] ZACC 28; </w:t>
      </w:r>
      <w:r w:rsidRPr="00AD4C30">
        <w:rPr>
          <w:lang w:val="en-ZA"/>
        </w:rPr>
        <w:t xml:space="preserve">2010 (4) SA 1 (CC). See also the discussion in C Hoexter </w:t>
      </w:r>
      <w:r w:rsidRPr="00AD4C30">
        <w:rPr>
          <w:i/>
          <w:lang w:val="en-ZA"/>
        </w:rPr>
        <w:t>Administrative Law in South Africa</w:t>
      </w:r>
      <w:r w:rsidRPr="00AD4C30">
        <w:rPr>
          <w:lang w:val="en-ZA"/>
        </w:rPr>
        <w:t xml:space="preserve"> 2 ed (2012) at 132-133 and the authorities there cited.</w:t>
      </w:r>
    </w:p>
  </w:footnote>
  <w:footnote w:id="55">
    <w:p w:rsidR="000775A0" w:rsidRPr="00AD4C30" w:rsidRDefault="000775A0">
      <w:pPr>
        <w:pStyle w:val="FootnoteText"/>
        <w:rPr>
          <w:lang w:val="en-ZA"/>
        </w:rPr>
      </w:pPr>
      <w:r w:rsidRPr="00AD4C30">
        <w:rPr>
          <w:rStyle w:val="FootnoteReference"/>
        </w:rPr>
        <w:footnoteRef/>
      </w:r>
      <w:r w:rsidRPr="00AD4C30">
        <w:t xml:space="preserve"> </w:t>
      </w:r>
      <w:r w:rsidRPr="00AD4C30">
        <w:rPr>
          <w:lang w:val="en-ZA"/>
        </w:rPr>
        <w:t xml:space="preserve">See Albertyn </w:t>
      </w:r>
      <w:r w:rsidRPr="00AD4C30">
        <w:rPr>
          <w:i/>
          <w:lang w:val="en-ZA"/>
        </w:rPr>
        <w:t>et al</w:t>
      </w:r>
      <w:r>
        <w:rPr>
          <w:lang w:val="en-ZA"/>
        </w:rPr>
        <w:t>, fn 44</w:t>
      </w:r>
      <w:r w:rsidRPr="00AD4C30">
        <w:rPr>
          <w:lang w:val="en-ZA"/>
        </w:rPr>
        <w:t xml:space="preserve"> above, at 93-94.</w:t>
      </w:r>
    </w:p>
  </w:footnote>
  <w:footnote w:id="56">
    <w:p w:rsidR="000775A0" w:rsidRPr="00AD4C30" w:rsidRDefault="000775A0">
      <w:pPr>
        <w:pStyle w:val="FootnoteText"/>
        <w:rPr>
          <w:lang w:val="en-ZA"/>
        </w:rPr>
      </w:pPr>
      <w:r w:rsidRPr="00AD4C30">
        <w:rPr>
          <w:rStyle w:val="FootnoteReference"/>
        </w:rPr>
        <w:footnoteRef/>
      </w:r>
      <w:r w:rsidRPr="00AD4C30">
        <w:t xml:space="preserve"> </w:t>
      </w:r>
      <w:r w:rsidRPr="00AD4C30">
        <w:rPr>
          <w:lang w:val="en-ZA"/>
        </w:rPr>
        <w:t xml:space="preserve">In Albertyn </w:t>
      </w:r>
      <w:r w:rsidRPr="00AD4C30">
        <w:rPr>
          <w:i/>
          <w:lang w:val="en-ZA"/>
        </w:rPr>
        <w:t>et al</w:t>
      </w:r>
      <w:r w:rsidRPr="00AD4C30">
        <w:rPr>
          <w:lang w:val="en-ZA"/>
        </w:rPr>
        <w:t xml:space="preserve"> the following is stated at 93:</w:t>
      </w:r>
    </w:p>
    <w:p w:rsidR="000775A0" w:rsidRPr="00AD4C30" w:rsidRDefault="000775A0" w:rsidP="00F464D6">
      <w:pPr>
        <w:pStyle w:val="FootnoteText"/>
        <w:jc w:val="both"/>
        <w:rPr>
          <w:lang w:val="en-ZA"/>
        </w:rPr>
      </w:pPr>
      <w:r w:rsidRPr="00AD4C30">
        <w:rPr>
          <w:lang w:val="en-ZA"/>
        </w:rPr>
        <w:t xml:space="preserve">‘Thus, the proviso limits the scope of the definition of “hate speech” under the Act and allows certain expression, that would otherwise be prohibited by s 10, to be protected.’ </w:t>
      </w:r>
    </w:p>
  </w:footnote>
  <w:footnote w:id="57">
    <w:p w:rsidR="000775A0" w:rsidRPr="00AD4C30" w:rsidRDefault="000775A0">
      <w:pPr>
        <w:pStyle w:val="FootnoteText"/>
        <w:rPr>
          <w:lang w:val="en-ZA"/>
        </w:rPr>
      </w:pPr>
      <w:r w:rsidRPr="00AD4C30">
        <w:rPr>
          <w:rStyle w:val="FootnoteReference"/>
        </w:rPr>
        <w:footnoteRef/>
      </w:r>
      <w:r w:rsidRPr="00AD4C30">
        <w:t xml:space="preserve"> </w:t>
      </w:r>
      <w:r w:rsidRPr="00AD4C30">
        <w:rPr>
          <w:lang w:val="en-ZA"/>
        </w:rPr>
        <w:t xml:space="preserve">T J Webb ‘Verbal Poison – Criminalizing Hate Speech: A Comparative Analysis and a Proposal for the American System’ (2011) 50 </w:t>
      </w:r>
      <w:r w:rsidRPr="00AD4C30">
        <w:rPr>
          <w:i/>
          <w:lang w:val="en-ZA"/>
        </w:rPr>
        <w:t>Washburn LJ</w:t>
      </w:r>
      <w:r w:rsidRPr="00AD4C30">
        <w:rPr>
          <w:lang w:val="en-ZA"/>
        </w:rPr>
        <w:t xml:space="preserve"> 445-482.</w:t>
      </w:r>
    </w:p>
  </w:footnote>
  <w:footnote w:id="58">
    <w:p w:rsidR="000775A0" w:rsidRPr="00AD4C30" w:rsidRDefault="000775A0" w:rsidP="00D01387">
      <w:pPr>
        <w:pStyle w:val="FootnoteText"/>
        <w:jc w:val="both"/>
        <w:rPr>
          <w:lang w:val="en-ZA"/>
        </w:rPr>
      </w:pPr>
      <w:r w:rsidRPr="00AD4C30">
        <w:rPr>
          <w:rStyle w:val="FootnoteReference"/>
        </w:rPr>
        <w:footnoteRef/>
      </w:r>
      <w:r w:rsidRPr="00AD4C30">
        <w:t xml:space="preserve"> </w:t>
      </w:r>
      <w:r w:rsidRPr="00AD4C30">
        <w:rPr>
          <w:lang w:val="en-ZA"/>
        </w:rPr>
        <w:t>See ss 1 and 2 thereof.</w:t>
      </w:r>
    </w:p>
  </w:footnote>
  <w:footnote w:id="59">
    <w:p w:rsidR="000775A0" w:rsidRPr="00AD4C30" w:rsidRDefault="000775A0" w:rsidP="00874B82">
      <w:pPr>
        <w:pStyle w:val="FootnoteText"/>
        <w:jc w:val="both"/>
        <w:rPr>
          <w:lang w:val="en-ZA"/>
        </w:rPr>
      </w:pPr>
      <w:r w:rsidRPr="00AD4C30">
        <w:rPr>
          <w:rStyle w:val="FootnoteReference"/>
        </w:rPr>
        <w:footnoteRef/>
      </w:r>
      <w:r w:rsidRPr="00AD4C30">
        <w:t xml:space="preserve"> </w:t>
      </w:r>
      <w:r w:rsidRPr="00AD4C30">
        <w:rPr>
          <w:lang w:val="en-ZA"/>
        </w:rPr>
        <w:t xml:space="preserve">In this regards, see, amongst others, </w:t>
      </w:r>
      <w:r w:rsidRPr="00AD4C30">
        <w:rPr>
          <w:i/>
          <w:lang w:val="en-ZA"/>
        </w:rPr>
        <w:t>Laugh It Off Promotions CC v SAB International (Finance) BV</w:t>
      </w:r>
      <w:r w:rsidRPr="00AD4C30">
        <w:rPr>
          <w:lang w:val="en-ZA"/>
        </w:rPr>
        <w:t xml:space="preserve"> </w:t>
      </w:r>
      <w:r w:rsidRPr="00AD4C30">
        <w:rPr>
          <w:i/>
          <w:lang w:val="en-ZA"/>
        </w:rPr>
        <w:t>t/a S</w:t>
      </w:r>
      <w:r>
        <w:rPr>
          <w:i/>
          <w:lang w:val="en-ZA"/>
        </w:rPr>
        <w:t>abmark</w:t>
      </w:r>
      <w:r w:rsidRPr="00AD4C30">
        <w:rPr>
          <w:i/>
          <w:lang w:val="en-ZA"/>
        </w:rPr>
        <w:t xml:space="preserve"> International (Freedom of Expression Institute as </w:t>
      </w:r>
      <w:r w:rsidRPr="00AD4C30">
        <w:rPr>
          <w:lang w:val="en-ZA"/>
        </w:rPr>
        <w:t>amicus curiae</w:t>
      </w:r>
      <w:r w:rsidRPr="00AD4C30">
        <w:rPr>
          <w:i/>
          <w:lang w:val="en-ZA"/>
        </w:rPr>
        <w:t>)</w:t>
      </w:r>
      <w:r w:rsidRPr="00AD4C30">
        <w:rPr>
          <w:lang w:val="en-ZA"/>
        </w:rPr>
        <w:t xml:space="preserve"> </w:t>
      </w:r>
      <w:r>
        <w:rPr>
          <w:lang w:val="en-ZA"/>
        </w:rPr>
        <w:t xml:space="preserve">[2005] ZACC 7; </w:t>
      </w:r>
      <w:r w:rsidRPr="00AD4C30">
        <w:rPr>
          <w:lang w:val="en-ZA"/>
        </w:rPr>
        <w:t>2006 (1) SA 144 (CC) para 47.</w:t>
      </w:r>
    </w:p>
  </w:footnote>
  <w:footnote w:id="60">
    <w:p w:rsidR="000775A0" w:rsidRPr="00AD4C30" w:rsidRDefault="000775A0" w:rsidP="00767BEB">
      <w:pPr>
        <w:pStyle w:val="FootnoteText"/>
        <w:jc w:val="both"/>
        <w:rPr>
          <w:lang w:val="en-ZA"/>
        </w:rPr>
      </w:pPr>
      <w:r w:rsidRPr="00AD4C30">
        <w:rPr>
          <w:rStyle w:val="FootnoteReference"/>
        </w:rPr>
        <w:footnoteRef/>
      </w:r>
      <w:r w:rsidRPr="00AD4C30">
        <w:t xml:space="preserve"> </w:t>
      </w:r>
      <w:r>
        <w:rPr>
          <w:lang w:val="en-ZA"/>
        </w:rPr>
        <w:t>Webb, fn 57</w:t>
      </w:r>
      <w:r w:rsidRPr="00AD4C30">
        <w:rPr>
          <w:lang w:val="en-ZA"/>
        </w:rPr>
        <w:t xml:space="preserve"> above, 463-464.</w:t>
      </w:r>
    </w:p>
  </w:footnote>
  <w:footnote w:id="61">
    <w:p w:rsidR="000775A0" w:rsidRPr="00AD4C30" w:rsidRDefault="000775A0">
      <w:pPr>
        <w:pStyle w:val="FootnoteText"/>
        <w:rPr>
          <w:lang w:val="en-ZA"/>
        </w:rPr>
      </w:pPr>
      <w:r w:rsidRPr="00AD4C30">
        <w:rPr>
          <w:rStyle w:val="FootnoteReference"/>
        </w:rPr>
        <w:footnoteRef/>
      </w:r>
      <w:r w:rsidRPr="00AD4C30">
        <w:t xml:space="preserve"> </w:t>
      </w:r>
      <w:r>
        <w:rPr>
          <w:i/>
          <w:iCs/>
        </w:rPr>
        <w:t xml:space="preserve">Moyo &amp; another v Minister of Police &amp; others; Sonti &amp; another v Minister of Police &amp; others </w:t>
      </w:r>
      <w:r w:rsidRPr="00AD4C30">
        <w:rPr>
          <w:lang w:val="en-ZA"/>
        </w:rPr>
        <w:t xml:space="preserve">[2019] ZACC 40 </w:t>
      </w:r>
      <w:r>
        <w:rPr>
          <w:lang w:val="en-ZA"/>
        </w:rPr>
        <w:t>para</w:t>
      </w:r>
      <w:r w:rsidRPr="00AD4C30">
        <w:rPr>
          <w:lang w:val="en-ZA"/>
        </w:rPr>
        <w:t xml:space="preserve"> 56.</w:t>
      </w:r>
    </w:p>
  </w:footnote>
  <w:footnote w:id="62">
    <w:p w:rsidR="000775A0" w:rsidRPr="00D6291C" w:rsidRDefault="000775A0">
      <w:pPr>
        <w:pStyle w:val="FootnoteText"/>
        <w:rPr>
          <w:lang w:val="en-ZA"/>
        </w:rPr>
      </w:pPr>
      <w:r>
        <w:rPr>
          <w:rStyle w:val="FootnoteReference"/>
        </w:rPr>
        <w:footnoteRef/>
      </w:r>
      <w:r>
        <w:t xml:space="preserve"> </w:t>
      </w:r>
      <w:r>
        <w:rPr>
          <w:i/>
          <w:iCs/>
          <w:lang w:val="en-ZA"/>
        </w:rPr>
        <w:t xml:space="preserve">Abahlali baseMjondolo Movement SA &amp; another v Premier of the Province of Kwazulu-Natal &amp; others </w:t>
      </w:r>
      <w:r>
        <w:rPr>
          <w:lang w:val="en-ZA"/>
        </w:rPr>
        <w:t xml:space="preserve">[2009] ZACC 31; 2010 (2) BCLR 99 (CC). </w:t>
      </w:r>
    </w:p>
  </w:footnote>
  <w:footnote w:id="63">
    <w:p w:rsidR="000775A0" w:rsidRPr="00AD4C30" w:rsidRDefault="000775A0">
      <w:pPr>
        <w:pStyle w:val="FootnoteText"/>
        <w:rPr>
          <w:lang w:val="en-ZA"/>
        </w:rPr>
      </w:pPr>
      <w:r w:rsidRPr="00AD4C30">
        <w:rPr>
          <w:rStyle w:val="FootnoteReference"/>
        </w:rPr>
        <w:footnoteRef/>
      </w:r>
      <w:r w:rsidRPr="00AD4C30">
        <w:t xml:space="preserve"> </w:t>
      </w:r>
      <w:r w:rsidRPr="00AD4C30">
        <w:rPr>
          <w:lang w:val="en-ZA"/>
        </w:rPr>
        <w:t>1996 (1) SACR 587 (CC).</w:t>
      </w:r>
    </w:p>
  </w:footnote>
  <w:footnote w:id="64">
    <w:p w:rsidR="000775A0" w:rsidRPr="00AD4C30" w:rsidRDefault="000775A0" w:rsidP="005C6EA0">
      <w:pPr>
        <w:pStyle w:val="FootnoteText"/>
        <w:jc w:val="both"/>
        <w:rPr>
          <w:lang w:val="en-ZA"/>
        </w:rPr>
      </w:pPr>
      <w:r w:rsidRPr="00AD4C30">
        <w:rPr>
          <w:rStyle w:val="FootnoteReference"/>
        </w:rPr>
        <w:footnoteRef/>
      </w:r>
      <w:r w:rsidRPr="00AD4C30">
        <w:t xml:space="preserve"> </w:t>
      </w:r>
      <w:r w:rsidRPr="00AD4C30">
        <w:rPr>
          <w:lang w:val="en-ZA"/>
        </w:rPr>
        <w:t>2001 (1) SA 545 (CC) para 24.</w:t>
      </w:r>
      <w:r>
        <w:rPr>
          <w:lang w:val="en-ZA"/>
        </w:rPr>
        <w:t xml:space="preserve"> (Citations omitted.)</w:t>
      </w:r>
    </w:p>
  </w:footnote>
  <w:footnote w:id="65">
    <w:p w:rsidR="000775A0" w:rsidRPr="00AD4C30" w:rsidRDefault="000775A0" w:rsidP="005C6EA0">
      <w:pPr>
        <w:pStyle w:val="FootnoteText"/>
        <w:jc w:val="both"/>
        <w:rPr>
          <w:lang w:val="en-ZA"/>
        </w:rPr>
      </w:pPr>
      <w:r w:rsidRPr="00AD4C30">
        <w:rPr>
          <w:rStyle w:val="FootnoteReference"/>
        </w:rPr>
        <w:footnoteRef/>
      </w:r>
      <w:r w:rsidRPr="00AD4C30">
        <w:t xml:space="preserve"> </w:t>
      </w:r>
      <w:r w:rsidRPr="00AD4C30">
        <w:rPr>
          <w:lang w:val="en-ZA"/>
        </w:rPr>
        <w:t xml:space="preserve">See also </w:t>
      </w:r>
      <w:r w:rsidRPr="00AD4C30">
        <w:rPr>
          <w:i/>
          <w:lang w:val="en-ZA"/>
        </w:rPr>
        <w:t>Dawood &amp; another v Minister of Home Affairs &amp; others; Shalabi &amp; another v Minister of Home Affairs; Thomas &amp; another v Minister of Home Affairs &amp; others</w:t>
      </w:r>
      <w:r w:rsidRPr="00AD4C30">
        <w:rPr>
          <w:lang w:val="en-ZA"/>
        </w:rPr>
        <w:t xml:space="preserve"> 2000 (3) SA 936 (CC) paras 47-48.</w:t>
      </w:r>
    </w:p>
  </w:footnote>
  <w:footnote w:id="66">
    <w:p w:rsidR="000775A0" w:rsidRPr="00AD4C30" w:rsidRDefault="000775A0" w:rsidP="008F7E2D">
      <w:pPr>
        <w:pStyle w:val="FootnoteText"/>
        <w:jc w:val="both"/>
        <w:rPr>
          <w:lang w:val="en-ZA"/>
        </w:rPr>
      </w:pPr>
      <w:r w:rsidRPr="00AD4C30">
        <w:rPr>
          <w:rStyle w:val="FootnoteReference"/>
        </w:rPr>
        <w:footnoteRef/>
      </w:r>
      <w:r w:rsidRPr="00AD4C30">
        <w:t xml:space="preserve"> </w:t>
      </w:r>
      <w:r w:rsidRPr="00AD4C30">
        <w:rPr>
          <w:lang w:val="en-ZA"/>
        </w:rPr>
        <w:t xml:space="preserve">See D W Freedman, R M Robinson and E S Pugsley ‘Constitutional Law: Bill of Rights’ </w:t>
      </w:r>
      <w:r w:rsidRPr="00AD4C30">
        <w:rPr>
          <w:i/>
          <w:lang w:val="en-ZA"/>
        </w:rPr>
        <w:t xml:space="preserve">Lawsa </w:t>
      </w:r>
      <w:r w:rsidRPr="00AD4C30">
        <w:rPr>
          <w:lang w:val="en-ZA"/>
        </w:rPr>
        <w:t xml:space="preserve">2 ed (2012) 5(4), para 56 and the cases there cited, including </w:t>
      </w:r>
      <w:r w:rsidRPr="00AD4C30">
        <w:rPr>
          <w:i/>
          <w:lang w:val="en-ZA"/>
        </w:rPr>
        <w:t xml:space="preserve">National Coalition for Gay and Lesbian Equality &amp; another v Minister of Justice &amp; others </w:t>
      </w:r>
      <w:r w:rsidRPr="00AD4C30">
        <w:rPr>
          <w:lang w:val="en-ZA"/>
        </w:rPr>
        <w:t xml:space="preserve">1999 (1) SA 6 (CC) para 56; </w:t>
      </w:r>
      <w:r w:rsidRPr="00AD4C30">
        <w:rPr>
          <w:i/>
          <w:lang w:val="en-ZA"/>
        </w:rPr>
        <w:t>S v Manamela &amp; another (Director-General of Justice Intervening)</w:t>
      </w:r>
      <w:r w:rsidRPr="00AD4C30">
        <w:rPr>
          <w:lang w:val="en-ZA"/>
        </w:rPr>
        <w:t xml:space="preserve"> 2000 (3) SA 1 (CC) para 56; </w:t>
      </w:r>
      <w:r w:rsidRPr="00AD4C30">
        <w:rPr>
          <w:i/>
          <w:lang w:val="en-ZA"/>
        </w:rPr>
        <w:t>Dawood &amp; another v Minister of Home Affairs &amp;</w:t>
      </w:r>
      <w:r>
        <w:rPr>
          <w:i/>
          <w:lang w:val="en-ZA"/>
        </w:rPr>
        <w:t xml:space="preserve"> </w:t>
      </w:r>
      <w:r w:rsidRPr="00AD4C30">
        <w:rPr>
          <w:i/>
          <w:lang w:val="en-ZA"/>
        </w:rPr>
        <w:t>others</w:t>
      </w:r>
      <w:r>
        <w:rPr>
          <w:i/>
          <w:lang w:val="en-ZA"/>
        </w:rPr>
        <w:t>;</w:t>
      </w:r>
      <w:r w:rsidRPr="00AD4C30">
        <w:rPr>
          <w:i/>
          <w:lang w:val="en-ZA"/>
        </w:rPr>
        <w:t xml:space="preserve"> Shalabi &amp; another v Minister of Home Affairs &amp; others; Thomas &amp; another v Minister of Home Affairs</w:t>
      </w:r>
      <w:r w:rsidRPr="00AD4C30">
        <w:rPr>
          <w:lang w:val="en-ZA"/>
        </w:rPr>
        <w:t xml:space="preserve"> </w:t>
      </w:r>
      <w:r w:rsidRPr="00AD4C30">
        <w:rPr>
          <w:i/>
          <w:lang w:val="en-ZA"/>
        </w:rPr>
        <w:t xml:space="preserve">&amp; others </w:t>
      </w:r>
      <w:r w:rsidRPr="00AD4C30">
        <w:rPr>
          <w:lang w:val="en-ZA"/>
        </w:rPr>
        <w:t xml:space="preserve">2000 (3) SA 936 (CC) para 62; </w:t>
      </w:r>
      <w:r w:rsidRPr="00AD4C30">
        <w:rPr>
          <w:i/>
          <w:lang w:val="en-ZA"/>
        </w:rPr>
        <w:t>S v Niemand</w:t>
      </w:r>
      <w:r w:rsidRPr="00AD4C30">
        <w:rPr>
          <w:lang w:val="en-ZA"/>
        </w:rPr>
        <w:t xml:space="preserve"> 2002 (1) SA 21 (CC) para 32; </w:t>
      </w:r>
      <w:r w:rsidRPr="00AD4C30">
        <w:rPr>
          <w:i/>
          <w:lang w:val="en-ZA"/>
        </w:rPr>
        <w:t>Zondi v MEC for Traditional and Local Government Affairs &amp; others</w:t>
      </w:r>
      <w:r>
        <w:rPr>
          <w:i/>
          <w:lang w:val="en-ZA"/>
        </w:rPr>
        <w:t xml:space="preserve"> </w:t>
      </w:r>
      <w:r>
        <w:rPr>
          <w:iCs/>
          <w:lang w:val="en-ZA"/>
        </w:rPr>
        <w:t>[2004] ZACC 19;</w:t>
      </w:r>
      <w:r w:rsidRPr="00AD4C30">
        <w:rPr>
          <w:lang w:val="en-ZA"/>
        </w:rPr>
        <w:t xml:space="preserve"> 2005 (3) SA 589 (CC), </w:t>
      </w:r>
      <w:r w:rsidRPr="00AD4C30">
        <w:rPr>
          <w:i/>
          <w:lang w:val="en-ZA"/>
        </w:rPr>
        <w:t>South African Liquor Traders’ Association &amp; others v Chairperson, Gauteng Liquor Board &amp; others</w:t>
      </w:r>
      <w:r w:rsidRPr="00AD4C30">
        <w:rPr>
          <w:lang w:val="en-ZA"/>
        </w:rPr>
        <w:t xml:space="preserve"> </w:t>
      </w:r>
      <w:r>
        <w:rPr>
          <w:lang w:val="en-ZA"/>
        </w:rPr>
        <w:t xml:space="preserve">[2006] ZACC 7; </w:t>
      </w:r>
      <w:r w:rsidRPr="00AD4C30">
        <w:rPr>
          <w:lang w:val="en-ZA"/>
        </w:rPr>
        <w:t xml:space="preserve">2009 (1) SA 565 (CC) paras 29-34; and </w:t>
      </w:r>
      <w:r w:rsidRPr="00AD4C30">
        <w:rPr>
          <w:i/>
          <w:lang w:val="en-ZA"/>
        </w:rPr>
        <w:t>Gory v Kolver NO &amp; others (Starke and others Intervening)</w:t>
      </w:r>
      <w:r w:rsidRPr="00AD4C30">
        <w:rPr>
          <w:lang w:val="en-ZA"/>
        </w:rPr>
        <w:t xml:space="preserve"> </w:t>
      </w:r>
      <w:r>
        <w:rPr>
          <w:lang w:val="en-ZA"/>
        </w:rPr>
        <w:t xml:space="preserve">[2006] ZACC 20; </w:t>
      </w:r>
      <w:r w:rsidRPr="00AD4C30">
        <w:rPr>
          <w:lang w:val="en-ZA"/>
        </w:rPr>
        <w:t>2007 (4) SA 97 (CC).</w:t>
      </w:r>
    </w:p>
  </w:footnote>
  <w:footnote w:id="67">
    <w:p w:rsidR="000775A0" w:rsidRPr="00AD4C30" w:rsidRDefault="000775A0" w:rsidP="008F7E2D">
      <w:pPr>
        <w:pStyle w:val="FootnoteText"/>
        <w:jc w:val="both"/>
        <w:rPr>
          <w:lang w:val="en-ZA"/>
        </w:rPr>
      </w:pPr>
      <w:r w:rsidRPr="00AD4C30">
        <w:rPr>
          <w:rStyle w:val="FootnoteReference"/>
        </w:rPr>
        <w:footnoteRef/>
      </w:r>
      <w:r w:rsidRPr="00AD4C30">
        <w:t xml:space="preserve"> </w:t>
      </w:r>
      <w:r w:rsidRPr="00AD4C30">
        <w:rPr>
          <w:lang w:val="en-ZA"/>
        </w:rPr>
        <w:t xml:space="preserve">See </w:t>
      </w:r>
      <w:r w:rsidRPr="00AD4C30">
        <w:rPr>
          <w:i/>
          <w:lang w:val="en-ZA"/>
        </w:rPr>
        <w:t>Manong &amp; Associates (Pty) Ltd v Department of Roads and Transport, Eastern Cape, &amp; others (No 2)</w:t>
      </w:r>
      <w:r w:rsidRPr="00AD4C30">
        <w:rPr>
          <w:lang w:val="en-ZA"/>
        </w:rPr>
        <w:t xml:space="preserve"> </w:t>
      </w:r>
      <w:r>
        <w:rPr>
          <w:lang w:val="en-ZA"/>
        </w:rPr>
        <w:t xml:space="preserve">[2009] ZASCA 50; </w:t>
      </w:r>
      <w:r w:rsidRPr="00AD4C30">
        <w:rPr>
          <w:lang w:val="en-ZA"/>
        </w:rPr>
        <w:t>2009 (6) 589 (SCA) paras 52-53</w:t>
      </w:r>
    </w:p>
  </w:footnote>
  <w:footnote w:id="68">
    <w:p w:rsidR="000775A0" w:rsidRPr="00AD4C30" w:rsidRDefault="000775A0" w:rsidP="00D65D7A">
      <w:pPr>
        <w:pStyle w:val="FootnoteText"/>
        <w:jc w:val="both"/>
        <w:rPr>
          <w:lang w:val="en-ZA"/>
        </w:rPr>
      </w:pPr>
      <w:r w:rsidRPr="00AD4C30">
        <w:rPr>
          <w:rStyle w:val="FootnoteReference"/>
        </w:rPr>
        <w:footnoteRef/>
      </w:r>
      <w:r w:rsidRPr="00AD4C30">
        <w:t xml:space="preserve"> </w:t>
      </w:r>
      <w:r w:rsidRPr="00AD4C30">
        <w:rPr>
          <w:lang w:val="en-ZA"/>
        </w:rPr>
        <w:t xml:space="preserve">See the order crafted by the Constitutional Court in </w:t>
      </w:r>
      <w:r w:rsidRPr="00AD4C30">
        <w:rPr>
          <w:i/>
          <w:lang w:val="en-ZA"/>
        </w:rPr>
        <w:t>Minister of Justice &amp; others v Prince &amp; others</w:t>
      </w:r>
      <w:r w:rsidRPr="00AD4C30">
        <w:rPr>
          <w:lang w:val="en-ZA"/>
        </w:rPr>
        <w:t xml:space="preserve"> </w:t>
      </w:r>
      <w:r>
        <w:rPr>
          <w:lang w:val="en-ZA"/>
        </w:rPr>
        <w:t xml:space="preserve">[2019] ZACC 30; </w:t>
      </w:r>
      <w:r w:rsidRPr="00AD4C30">
        <w:rPr>
          <w:lang w:val="en-ZA"/>
        </w:rPr>
        <w:t>2018 (6) SA 393 (CC) para 128.</w:t>
      </w:r>
    </w:p>
  </w:footnote>
  <w:footnote w:id="69">
    <w:p w:rsidR="000775A0" w:rsidRPr="00AD4C30" w:rsidRDefault="000775A0" w:rsidP="005E5C33">
      <w:pPr>
        <w:pStyle w:val="FootnoteText"/>
        <w:jc w:val="both"/>
        <w:rPr>
          <w:lang w:val="en-ZA"/>
        </w:rPr>
      </w:pPr>
      <w:r w:rsidRPr="00AD4C30">
        <w:rPr>
          <w:rStyle w:val="FootnoteReference"/>
        </w:rPr>
        <w:footnoteRef/>
      </w:r>
      <w:r w:rsidRPr="00AD4C30">
        <w:t xml:space="preserve"> See </w:t>
      </w:r>
      <w:r w:rsidRPr="00AD4C30">
        <w:rPr>
          <w:i/>
        </w:rPr>
        <w:t>Phaahla v Minister of Justice and Correctional Services &amp; another</w:t>
      </w:r>
      <w:r w:rsidRPr="00AD4C30">
        <w:t xml:space="preserve"> [2019] ZACC 18</w:t>
      </w:r>
      <w:r w:rsidRPr="00AD4C30">
        <w:rPr>
          <w:color w:val="000000" w:themeColor="text1"/>
        </w:rPr>
        <w:t>; 2019</w:t>
      </w:r>
      <w:r>
        <w:rPr>
          <w:color w:val="000000" w:themeColor="text1"/>
        </w:rPr>
        <w:t xml:space="preserve"> (2) SACR 88 (CC)</w:t>
      </w:r>
      <w:r w:rsidRPr="00AD4C30">
        <w:rPr>
          <w:color w:val="000000" w:themeColor="text1"/>
        </w:rPr>
        <w:t xml:space="preserve"> </w:t>
      </w:r>
      <w:r w:rsidRPr="00AD4C30">
        <w:t xml:space="preserve">para 85 and </w:t>
      </w:r>
      <w:r w:rsidRPr="00AD4C30">
        <w:rPr>
          <w:i/>
        </w:rPr>
        <w:t>Savoi &amp; others v National Director of Public Prosecutions &amp; another</w:t>
      </w:r>
      <w:r w:rsidRPr="00AD4C30">
        <w:t xml:space="preserve"> [2014] ZACC 5; 2014 </w:t>
      </w:r>
      <w:r>
        <w:t>(5) SA 317 (CC)</w:t>
      </w:r>
      <w:r w:rsidRPr="00AD4C30">
        <w:t xml:space="preserve"> paras 74-76. </w:t>
      </w:r>
      <w:r w:rsidRPr="00AD4C30">
        <w:rPr>
          <w:lang w:val="en-ZA"/>
        </w:rPr>
        <w:t>See also an interesting discussion on the formal and substantive aspects of the rule of law in Lord Bingham ‘The Rule of Law’</w:t>
      </w:r>
      <w:r>
        <w:rPr>
          <w:lang w:val="en-ZA"/>
        </w:rPr>
        <w:t xml:space="preserve"> (2007) 66</w:t>
      </w:r>
      <w:r w:rsidRPr="00AD4C30">
        <w:t xml:space="preserve"> </w:t>
      </w:r>
      <w:r w:rsidRPr="00AD4C30">
        <w:rPr>
          <w:i/>
        </w:rPr>
        <w:t>Cambridge L</w:t>
      </w:r>
      <w:r>
        <w:rPr>
          <w:i/>
        </w:rPr>
        <w:t xml:space="preserve">J </w:t>
      </w:r>
      <w:r>
        <w:t>67-85.</w:t>
      </w:r>
      <w:r w:rsidRPr="00AD4C30">
        <w:t xml:space="preserve"> </w:t>
      </w:r>
    </w:p>
  </w:footnote>
  <w:footnote w:id="70">
    <w:p w:rsidR="000775A0" w:rsidRPr="00F367B2" w:rsidRDefault="000775A0">
      <w:pPr>
        <w:pStyle w:val="FootnoteText"/>
        <w:rPr>
          <w:lang w:val="en-ZA"/>
        </w:rPr>
      </w:pPr>
      <w:r w:rsidRPr="00AD4C30">
        <w:rPr>
          <w:rStyle w:val="FootnoteReference"/>
        </w:rPr>
        <w:footnoteRef/>
      </w:r>
      <w:r w:rsidRPr="00AD4C30">
        <w:t xml:space="preserve"> See J M Burchell (ed) </w:t>
      </w:r>
      <w:r w:rsidRPr="00AD4C30">
        <w:rPr>
          <w:i/>
        </w:rPr>
        <w:t xml:space="preserve">South African Criminal Law and Procedure </w:t>
      </w:r>
      <w:r w:rsidRPr="00AD4C30">
        <w:t>(1997) at 28-30.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A0" w:rsidRDefault="000775A0" w:rsidP="004C2698">
    <w:pPr>
      <w:pStyle w:val="Head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164C8">
      <w:rPr>
        <w:rStyle w:val="PageNumber"/>
        <w:rFonts w:cs="Arial"/>
        <w:noProof/>
      </w:rPr>
      <w:t>4</w:t>
    </w:r>
    <w:r>
      <w:rPr>
        <w:rStyle w:val="PageNumber"/>
        <w:rFonts w:cs="Arial"/>
      </w:rPr>
      <w:fldChar w:fldCharType="end"/>
    </w:r>
  </w:p>
  <w:p w:rsidR="000775A0" w:rsidRDefault="000775A0" w:rsidP="00C24314">
    <w:pPr>
      <w:pStyle w:val="Header"/>
      <w:framePr w:wrap="auto" w:vAnchor="text" w:hAnchor="margin" w:xAlign="center" w:y="1"/>
      <w:ind w:right="360"/>
      <w:rPr>
        <w:rStyle w:val="PageNumber"/>
        <w:rFonts w:cs="Arial"/>
      </w:rPr>
    </w:pPr>
  </w:p>
  <w:p w:rsidR="000775A0" w:rsidRDefault="00077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F88"/>
    <w:multiLevelType w:val="hybridMultilevel"/>
    <w:tmpl w:val="8408870E"/>
    <w:lvl w:ilvl="0" w:tplc="38B0266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9E815C8"/>
    <w:multiLevelType w:val="hybridMultilevel"/>
    <w:tmpl w:val="0E7CEC50"/>
    <w:lvl w:ilvl="0" w:tplc="20D6021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D25232"/>
    <w:multiLevelType w:val="hybridMultilevel"/>
    <w:tmpl w:val="BF72265A"/>
    <w:lvl w:ilvl="0" w:tplc="D5EC43E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39F2B3C"/>
    <w:multiLevelType w:val="hybridMultilevel"/>
    <w:tmpl w:val="51A8ED4A"/>
    <w:lvl w:ilvl="0" w:tplc="8EACFC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56734155"/>
    <w:multiLevelType w:val="hybridMultilevel"/>
    <w:tmpl w:val="6292EE64"/>
    <w:lvl w:ilvl="0" w:tplc="1060A9E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0691CF-6229-45D6-AD93-9FFE42F90833}"/>
    <w:docVar w:name="dgnword-eventsink" w:val="342995912"/>
  </w:docVars>
  <w:rsids>
    <w:rsidRoot w:val="00745C2A"/>
    <w:rsid w:val="00001062"/>
    <w:rsid w:val="00002AC1"/>
    <w:rsid w:val="00005E8B"/>
    <w:rsid w:val="00006623"/>
    <w:rsid w:val="00006CB0"/>
    <w:rsid w:val="000079B3"/>
    <w:rsid w:val="000120C3"/>
    <w:rsid w:val="000126B9"/>
    <w:rsid w:val="0001333F"/>
    <w:rsid w:val="0001379E"/>
    <w:rsid w:val="00014130"/>
    <w:rsid w:val="00015E12"/>
    <w:rsid w:val="00016AF6"/>
    <w:rsid w:val="00020035"/>
    <w:rsid w:val="000229ED"/>
    <w:rsid w:val="00022E27"/>
    <w:rsid w:val="00025A6B"/>
    <w:rsid w:val="00026C95"/>
    <w:rsid w:val="000311BA"/>
    <w:rsid w:val="000334C9"/>
    <w:rsid w:val="0003442B"/>
    <w:rsid w:val="00036ADE"/>
    <w:rsid w:val="00036E35"/>
    <w:rsid w:val="00042039"/>
    <w:rsid w:val="0004203D"/>
    <w:rsid w:val="0004244F"/>
    <w:rsid w:val="000431E1"/>
    <w:rsid w:val="00044E74"/>
    <w:rsid w:val="00045199"/>
    <w:rsid w:val="0005265B"/>
    <w:rsid w:val="00060AA5"/>
    <w:rsid w:val="000626F5"/>
    <w:rsid w:val="00063B6A"/>
    <w:rsid w:val="00064914"/>
    <w:rsid w:val="00064D40"/>
    <w:rsid w:val="00065FD1"/>
    <w:rsid w:val="0006632C"/>
    <w:rsid w:val="00066531"/>
    <w:rsid w:val="00066DD3"/>
    <w:rsid w:val="0007435C"/>
    <w:rsid w:val="00074A95"/>
    <w:rsid w:val="00074D97"/>
    <w:rsid w:val="0007595A"/>
    <w:rsid w:val="000775A0"/>
    <w:rsid w:val="0008093B"/>
    <w:rsid w:val="000875AA"/>
    <w:rsid w:val="000906B2"/>
    <w:rsid w:val="00090A0B"/>
    <w:rsid w:val="000910A1"/>
    <w:rsid w:val="00091674"/>
    <w:rsid w:val="000930EC"/>
    <w:rsid w:val="000931C7"/>
    <w:rsid w:val="00093419"/>
    <w:rsid w:val="000957C9"/>
    <w:rsid w:val="00096CB5"/>
    <w:rsid w:val="000A1FBA"/>
    <w:rsid w:val="000A2F09"/>
    <w:rsid w:val="000B0E07"/>
    <w:rsid w:val="000B2A56"/>
    <w:rsid w:val="000B3D98"/>
    <w:rsid w:val="000B41B8"/>
    <w:rsid w:val="000B611D"/>
    <w:rsid w:val="000B6BC6"/>
    <w:rsid w:val="000B6D16"/>
    <w:rsid w:val="000B6F71"/>
    <w:rsid w:val="000C027D"/>
    <w:rsid w:val="000C147B"/>
    <w:rsid w:val="000C42CA"/>
    <w:rsid w:val="000C48D1"/>
    <w:rsid w:val="000C5184"/>
    <w:rsid w:val="000C5185"/>
    <w:rsid w:val="000C6ABE"/>
    <w:rsid w:val="000D04FC"/>
    <w:rsid w:val="000D1A02"/>
    <w:rsid w:val="000D1B45"/>
    <w:rsid w:val="000D2A09"/>
    <w:rsid w:val="000D2D25"/>
    <w:rsid w:val="000D34DB"/>
    <w:rsid w:val="000D3E26"/>
    <w:rsid w:val="000D4D7C"/>
    <w:rsid w:val="000D5AD0"/>
    <w:rsid w:val="000D64E8"/>
    <w:rsid w:val="000D7CC1"/>
    <w:rsid w:val="000E2BB2"/>
    <w:rsid w:val="000E4110"/>
    <w:rsid w:val="000E67F7"/>
    <w:rsid w:val="000E6D54"/>
    <w:rsid w:val="000E6ED8"/>
    <w:rsid w:val="000F2278"/>
    <w:rsid w:val="000F29D6"/>
    <w:rsid w:val="000F2A1B"/>
    <w:rsid w:val="000F55A4"/>
    <w:rsid w:val="000F5A7E"/>
    <w:rsid w:val="000F61A3"/>
    <w:rsid w:val="000F7CD3"/>
    <w:rsid w:val="00101008"/>
    <w:rsid w:val="00102771"/>
    <w:rsid w:val="00106021"/>
    <w:rsid w:val="001063CE"/>
    <w:rsid w:val="001063EA"/>
    <w:rsid w:val="00106A85"/>
    <w:rsid w:val="001074AB"/>
    <w:rsid w:val="00110E33"/>
    <w:rsid w:val="00111D2E"/>
    <w:rsid w:val="00112D27"/>
    <w:rsid w:val="00113F5C"/>
    <w:rsid w:val="00114AC6"/>
    <w:rsid w:val="0011597F"/>
    <w:rsid w:val="00120BE4"/>
    <w:rsid w:val="00121364"/>
    <w:rsid w:val="0012178C"/>
    <w:rsid w:val="0012281F"/>
    <w:rsid w:val="001247E2"/>
    <w:rsid w:val="00125A5B"/>
    <w:rsid w:val="001260BF"/>
    <w:rsid w:val="0013038D"/>
    <w:rsid w:val="00130B24"/>
    <w:rsid w:val="0013131E"/>
    <w:rsid w:val="00131DF5"/>
    <w:rsid w:val="00132085"/>
    <w:rsid w:val="00132AB1"/>
    <w:rsid w:val="00132F1D"/>
    <w:rsid w:val="00133474"/>
    <w:rsid w:val="00134822"/>
    <w:rsid w:val="00134CD2"/>
    <w:rsid w:val="00134DF0"/>
    <w:rsid w:val="00134E76"/>
    <w:rsid w:val="00137459"/>
    <w:rsid w:val="00137B23"/>
    <w:rsid w:val="00143A19"/>
    <w:rsid w:val="001444FF"/>
    <w:rsid w:val="001448FB"/>
    <w:rsid w:val="00144B0B"/>
    <w:rsid w:val="0014579C"/>
    <w:rsid w:val="00145E6F"/>
    <w:rsid w:val="00154E99"/>
    <w:rsid w:val="001557F8"/>
    <w:rsid w:val="00156141"/>
    <w:rsid w:val="001562C0"/>
    <w:rsid w:val="00157357"/>
    <w:rsid w:val="00157B12"/>
    <w:rsid w:val="00160321"/>
    <w:rsid w:val="0016257C"/>
    <w:rsid w:val="00164B0D"/>
    <w:rsid w:val="0016708B"/>
    <w:rsid w:val="001704FE"/>
    <w:rsid w:val="00170653"/>
    <w:rsid w:val="001707FF"/>
    <w:rsid w:val="00170BA3"/>
    <w:rsid w:val="001729FA"/>
    <w:rsid w:val="00173246"/>
    <w:rsid w:val="00173A38"/>
    <w:rsid w:val="00175F08"/>
    <w:rsid w:val="001764CC"/>
    <w:rsid w:val="00176BC4"/>
    <w:rsid w:val="001806BC"/>
    <w:rsid w:val="00182B1B"/>
    <w:rsid w:val="00183711"/>
    <w:rsid w:val="00185E30"/>
    <w:rsid w:val="00186150"/>
    <w:rsid w:val="00186EA3"/>
    <w:rsid w:val="00192077"/>
    <w:rsid w:val="001921A0"/>
    <w:rsid w:val="00195CCA"/>
    <w:rsid w:val="001975B3"/>
    <w:rsid w:val="00197EC6"/>
    <w:rsid w:val="001A08DC"/>
    <w:rsid w:val="001A3362"/>
    <w:rsid w:val="001A3B4A"/>
    <w:rsid w:val="001A4083"/>
    <w:rsid w:val="001A4BB2"/>
    <w:rsid w:val="001A504A"/>
    <w:rsid w:val="001A5364"/>
    <w:rsid w:val="001A7CF6"/>
    <w:rsid w:val="001B3DB9"/>
    <w:rsid w:val="001B4D82"/>
    <w:rsid w:val="001B64D4"/>
    <w:rsid w:val="001B6668"/>
    <w:rsid w:val="001B6DED"/>
    <w:rsid w:val="001C047B"/>
    <w:rsid w:val="001C1A4C"/>
    <w:rsid w:val="001C2EF8"/>
    <w:rsid w:val="001C46E5"/>
    <w:rsid w:val="001C4A9D"/>
    <w:rsid w:val="001C5597"/>
    <w:rsid w:val="001C5C67"/>
    <w:rsid w:val="001C5FFF"/>
    <w:rsid w:val="001C623B"/>
    <w:rsid w:val="001C62B4"/>
    <w:rsid w:val="001D149C"/>
    <w:rsid w:val="001D2D30"/>
    <w:rsid w:val="001D3B52"/>
    <w:rsid w:val="001D5920"/>
    <w:rsid w:val="001E0A47"/>
    <w:rsid w:val="001E2778"/>
    <w:rsid w:val="001E3C45"/>
    <w:rsid w:val="001E50C7"/>
    <w:rsid w:val="001E7388"/>
    <w:rsid w:val="001E7CA8"/>
    <w:rsid w:val="001F0B1A"/>
    <w:rsid w:val="001F1A1A"/>
    <w:rsid w:val="001F2F26"/>
    <w:rsid w:val="001F4CF6"/>
    <w:rsid w:val="001F55F5"/>
    <w:rsid w:val="001F61B8"/>
    <w:rsid w:val="001F6660"/>
    <w:rsid w:val="00203DE1"/>
    <w:rsid w:val="00207831"/>
    <w:rsid w:val="00210F80"/>
    <w:rsid w:val="00213E16"/>
    <w:rsid w:val="00215CE4"/>
    <w:rsid w:val="00217C2D"/>
    <w:rsid w:val="00222EB7"/>
    <w:rsid w:val="00224C11"/>
    <w:rsid w:val="00225766"/>
    <w:rsid w:val="002259C6"/>
    <w:rsid w:val="00225BD2"/>
    <w:rsid w:val="00226B81"/>
    <w:rsid w:val="00227771"/>
    <w:rsid w:val="002302B5"/>
    <w:rsid w:val="00230E55"/>
    <w:rsid w:val="00232822"/>
    <w:rsid w:val="0023351D"/>
    <w:rsid w:val="00233D44"/>
    <w:rsid w:val="002351C7"/>
    <w:rsid w:val="0023580F"/>
    <w:rsid w:val="00235B16"/>
    <w:rsid w:val="002362D0"/>
    <w:rsid w:val="00237455"/>
    <w:rsid w:val="00240C36"/>
    <w:rsid w:val="0024256F"/>
    <w:rsid w:val="00242C4F"/>
    <w:rsid w:val="00242E87"/>
    <w:rsid w:val="00243494"/>
    <w:rsid w:val="00244B65"/>
    <w:rsid w:val="00244E80"/>
    <w:rsid w:val="00246030"/>
    <w:rsid w:val="00250769"/>
    <w:rsid w:val="002531AF"/>
    <w:rsid w:val="0025529B"/>
    <w:rsid w:val="002559F4"/>
    <w:rsid w:val="00256EEF"/>
    <w:rsid w:val="00257AD2"/>
    <w:rsid w:val="00260E0B"/>
    <w:rsid w:val="00261AF3"/>
    <w:rsid w:val="00261BF0"/>
    <w:rsid w:val="00261F78"/>
    <w:rsid w:val="002642BC"/>
    <w:rsid w:val="0027123A"/>
    <w:rsid w:val="00271F0F"/>
    <w:rsid w:val="00276182"/>
    <w:rsid w:val="002766F8"/>
    <w:rsid w:val="00280BF3"/>
    <w:rsid w:val="00284181"/>
    <w:rsid w:val="00284E27"/>
    <w:rsid w:val="002852FF"/>
    <w:rsid w:val="0028543E"/>
    <w:rsid w:val="00285790"/>
    <w:rsid w:val="0028581D"/>
    <w:rsid w:val="00291528"/>
    <w:rsid w:val="0029491A"/>
    <w:rsid w:val="00296722"/>
    <w:rsid w:val="0029726E"/>
    <w:rsid w:val="002A27CA"/>
    <w:rsid w:val="002A2D15"/>
    <w:rsid w:val="002A377B"/>
    <w:rsid w:val="002A5269"/>
    <w:rsid w:val="002A6C41"/>
    <w:rsid w:val="002B1893"/>
    <w:rsid w:val="002B5403"/>
    <w:rsid w:val="002B66CB"/>
    <w:rsid w:val="002C01F2"/>
    <w:rsid w:val="002C198B"/>
    <w:rsid w:val="002C31D3"/>
    <w:rsid w:val="002C3878"/>
    <w:rsid w:val="002C48D7"/>
    <w:rsid w:val="002C53D5"/>
    <w:rsid w:val="002C5C9A"/>
    <w:rsid w:val="002C71F1"/>
    <w:rsid w:val="002D016F"/>
    <w:rsid w:val="002D09CB"/>
    <w:rsid w:val="002D4115"/>
    <w:rsid w:val="002D4532"/>
    <w:rsid w:val="002E0078"/>
    <w:rsid w:val="002E2AD7"/>
    <w:rsid w:val="002E2FDF"/>
    <w:rsid w:val="002E4236"/>
    <w:rsid w:val="002E777C"/>
    <w:rsid w:val="002F0595"/>
    <w:rsid w:val="002F11C3"/>
    <w:rsid w:val="002F20FD"/>
    <w:rsid w:val="002F7519"/>
    <w:rsid w:val="002F77A1"/>
    <w:rsid w:val="003006A0"/>
    <w:rsid w:val="00301E9D"/>
    <w:rsid w:val="00302486"/>
    <w:rsid w:val="00302597"/>
    <w:rsid w:val="0030298F"/>
    <w:rsid w:val="00302F08"/>
    <w:rsid w:val="00303810"/>
    <w:rsid w:val="00304978"/>
    <w:rsid w:val="0030604F"/>
    <w:rsid w:val="00307EEE"/>
    <w:rsid w:val="003103D3"/>
    <w:rsid w:val="003117CF"/>
    <w:rsid w:val="00311CE5"/>
    <w:rsid w:val="0031205C"/>
    <w:rsid w:val="0031342D"/>
    <w:rsid w:val="003149CD"/>
    <w:rsid w:val="00314B87"/>
    <w:rsid w:val="0031515F"/>
    <w:rsid w:val="00315EF4"/>
    <w:rsid w:val="00317C86"/>
    <w:rsid w:val="0032011A"/>
    <w:rsid w:val="003228FC"/>
    <w:rsid w:val="00322A80"/>
    <w:rsid w:val="00322D0B"/>
    <w:rsid w:val="0032349F"/>
    <w:rsid w:val="003234E7"/>
    <w:rsid w:val="003262AD"/>
    <w:rsid w:val="00330A38"/>
    <w:rsid w:val="0033159C"/>
    <w:rsid w:val="00332986"/>
    <w:rsid w:val="00334259"/>
    <w:rsid w:val="00335CE8"/>
    <w:rsid w:val="00335EB4"/>
    <w:rsid w:val="00341E0C"/>
    <w:rsid w:val="003428CB"/>
    <w:rsid w:val="003430A4"/>
    <w:rsid w:val="003439BE"/>
    <w:rsid w:val="003478B9"/>
    <w:rsid w:val="00350DE2"/>
    <w:rsid w:val="003532CA"/>
    <w:rsid w:val="00353870"/>
    <w:rsid w:val="00353FDB"/>
    <w:rsid w:val="0035633F"/>
    <w:rsid w:val="00356840"/>
    <w:rsid w:val="003573F6"/>
    <w:rsid w:val="00357C1E"/>
    <w:rsid w:val="00361A6F"/>
    <w:rsid w:val="00362094"/>
    <w:rsid w:val="00364247"/>
    <w:rsid w:val="00366567"/>
    <w:rsid w:val="003722AF"/>
    <w:rsid w:val="00374EE0"/>
    <w:rsid w:val="00382492"/>
    <w:rsid w:val="0038262C"/>
    <w:rsid w:val="00386826"/>
    <w:rsid w:val="0039016F"/>
    <w:rsid w:val="003906B9"/>
    <w:rsid w:val="00391765"/>
    <w:rsid w:val="00393475"/>
    <w:rsid w:val="003952A3"/>
    <w:rsid w:val="00396232"/>
    <w:rsid w:val="003A0309"/>
    <w:rsid w:val="003A070E"/>
    <w:rsid w:val="003A38BB"/>
    <w:rsid w:val="003A4226"/>
    <w:rsid w:val="003A5579"/>
    <w:rsid w:val="003B18CB"/>
    <w:rsid w:val="003B4295"/>
    <w:rsid w:val="003B43B7"/>
    <w:rsid w:val="003B5576"/>
    <w:rsid w:val="003B600E"/>
    <w:rsid w:val="003C1716"/>
    <w:rsid w:val="003C3E64"/>
    <w:rsid w:val="003C454B"/>
    <w:rsid w:val="003C5F63"/>
    <w:rsid w:val="003C5FD2"/>
    <w:rsid w:val="003C68B4"/>
    <w:rsid w:val="003D3503"/>
    <w:rsid w:val="003D47F7"/>
    <w:rsid w:val="003D596C"/>
    <w:rsid w:val="003D773C"/>
    <w:rsid w:val="003D7A7A"/>
    <w:rsid w:val="003D7F47"/>
    <w:rsid w:val="003E023F"/>
    <w:rsid w:val="003E0A6D"/>
    <w:rsid w:val="003E1A97"/>
    <w:rsid w:val="003E1C93"/>
    <w:rsid w:val="003E2591"/>
    <w:rsid w:val="003E5228"/>
    <w:rsid w:val="003E5626"/>
    <w:rsid w:val="003E7623"/>
    <w:rsid w:val="003E7E49"/>
    <w:rsid w:val="003F17B2"/>
    <w:rsid w:val="003F2183"/>
    <w:rsid w:val="003F44B6"/>
    <w:rsid w:val="003F5332"/>
    <w:rsid w:val="003F713F"/>
    <w:rsid w:val="00400352"/>
    <w:rsid w:val="00400799"/>
    <w:rsid w:val="004009D4"/>
    <w:rsid w:val="004014FD"/>
    <w:rsid w:val="004021FE"/>
    <w:rsid w:val="0040343E"/>
    <w:rsid w:val="00404D32"/>
    <w:rsid w:val="00407731"/>
    <w:rsid w:val="00412E5A"/>
    <w:rsid w:val="00415A99"/>
    <w:rsid w:val="00422A6B"/>
    <w:rsid w:val="00422B1B"/>
    <w:rsid w:val="00424371"/>
    <w:rsid w:val="00425E59"/>
    <w:rsid w:val="0042740A"/>
    <w:rsid w:val="00427680"/>
    <w:rsid w:val="00431D18"/>
    <w:rsid w:val="00431E31"/>
    <w:rsid w:val="00433891"/>
    <w:rsid w:val="00433AFC"/>
    <w:rsid w:val="004347BE"/>
    <w:rsid w:val="00440F47"/>
    <w:rsid w:val="0044169D"/>
    <w:rsid w:val="004429F3"/>
    <w:rsid w:val="00442D2E"/>
    <w:rsid w:val="00444240"/>
    <w:rsid w:val="004444CB"/>
    <w:rsid w:val="004453B4"/>
    <w:rsid w:val="004453D3"/>
    <w:rsid w:val="00446970"/>
    <w:rsid w:val="0044755A"/>
    <w:rsid w:val="0045143E"/>
    <w:rsid w:val="00454056"/>
    <w:rsid w:val="004607C8"/>
    <w:rsid w:val="00465A49"/>
    <w:rsid w:val="00465BFE"/>
    <w:rsid w:val="00466088"/>
    <w:rsid w:val="00466CB1"/>
    <w:rsid w:val="00467326"/>
    <w:rsid w:val="00467FBC"/>
    <w:rsid w:val="0047119A"/>
    <w:rsid w:val="00471618"/>
    <w:rsid w:val="00483378"/>
    <w:rsid w:val="004853A8"/>
    <w:rsid w:val="00485842"/>
    <w:rsid w:val="00486A28"/>
    <w:rsid w:val="00487793"/>
    <w:rsid w:val="00487EBA"/>
    <w:rsid w:val="00491100"/>
    <w:rsid w:val="00492383"/>
    <w:rsid w:val="00492A18"/>
    <w:rsid w:val="0049470C"/>
    <w:rsid w:val="004A132A"/>
    <w:rsid w:val="004A25B0"/>
    <w:rsid w:val="004A3630"/>
    <w:rsid w:val="004A4350"/>
    <w:rsid w:val="004B6881"/>
    <w:rsid w:val="004B79EF"/>
    <w:rsid w:val="004C0602"/>
    <w:rsid w:val="004C1385"/>
    <w:rsid w:val="004C1DCE"/>
    <w:rsid w:val="004C2698"/>
    <w:rsid w:val="004C3409"/>
    <w:rsid w:val="004C378B"/>
    <w:rsid w:val="004C4EB0"/>
    <w:rsid w:val="004C7428"/>
    <w:rsid w:val="004D0136"/>
    <w:rsid w:val="004D295F"/>
    <w:rsid w:val="004D536A"/>
    <w:rsid w:val="004D6498"/>
    <w:rsid w:val="004E0F68"/>
    <w:rsid w:val="004E4021"/>
    <w:rsid w:val="004E524F"/>
    <w:rsid w:val="004E5885"/>
    <w:rsid w:val="004E5D9B"/>
    <w:rsid w:val="004E6A51"/>
    <w:rsid w:val="004F0A4A"/>
    <w:rsid w:val="004F174F"/>
    <w:rsid w:val="004F28C8"/>
    <w:rsid w:val="004F327B"/>
    <w:rsid w:val="004F5F12"/>
    <w:rsid w:val="004F723E"/>
    <w:rsid w:val="0050092A"/>
    <w:rsid w:val="00500AD8"/>
    <w:rsid w:val="00502F10"/>
    <w:rsid w:val="005032A3"/>
    <w:rsid w:val="005032C7"/>
    <w:rsid w:val="00503A6E"/>
    <w:rsid w:val="00504C47"/>
    <w:rsid w:val="00507C4E"/>
    <w:rsid w:val="005118F4"/>
    <w:rsid w:val="00511DCE"/>
    <w:rsid w:val="0051291A"/>
    <w:rsid w:val="00513C60"/>
    <w:rsid w:val="00514072"/>
    <w:rsid w:val="005153F9"/>
    <w:rsid w:val="0051593C"/>
    <w:rsid w:val="00520FFD"/>
    <w:rsid w:val="00522C73"/>
    <w:rsid w:val="00523AD3"/>
    <w:rsid w:val="00523F9A"/>
    <w:rsid w:val="00524465"/>
    <w:rsid w:val="00524AF9"/>
    <w:rsid w:val="005255FF"/>
    <w:rsid w:val="0052670F"/>
    <w:rsid w:val="005267DD"/>
    <w:rsid w:val="00527A43"/>
    <w:rsid w:val="00530804"/>
    <w:rsid w:val="0053086D"/>
    <w:rsid w:val="005316A5"/>
    <w:rsid w:val="00534327"/>
    <w:rsid w:val="00534802"/>
    <w:rsid w:val="00535F58"/>
    <w:rsid w:val="005372C8"/>
    <w:rsid w:val="00537A8C"/>
    <w:rsid w:val="00542373"/>
    <w:rsid w:val="00542594"/>
    <w:rsid w:val="00543718"/>
    <w:rsid w:val="00547081"/>
    <w:rsid w:val="0054787E"/>
    <w:rsid w:val="005501B7"/>
    <w:rsid w:val="00550310"/>
    <w:rsid w:val="00550387"/>
    <w:rsid w:val="0055371A"/>
    <w:rsid w:val="00554261"/>
    <w:rsid w:val="005546BD"/>
    <w:rsid w:val="00554FCC"/>
    <w:rsid w:val="00556F38"/>
    <w:rsid w:val="00557ECD"/>
    <w:rsid w:val="005601E1"/>
    <w:rsid w:val="005612B8"/>
    <w:rsid w:val="00562132"/>
    <w:rsid w:val="00562317"/>
    <w:rsid w:val="005623FE"/>
    <w:rsid w:val="0056379A"/>
    <w:rsid w:val="00564E99"/>
    <w:rsid w:val="005704D8"/>
    <w:rsid w:val="00570502"/>
    <w:rsid w:val="00571AD2"/>
    <w:rsid w:val="00574920"/>
    <w:rsid w:val="005755F3"/>
    <w:rsid w:val="00576951"/>
    <w:rsid w:val="00577F23"/>
    <w:rsid w:val="005813A5"/>
    <w:rsid w:val="005825D4"/>
    <w:rsid w:val="005828C3"/>
    <w:rsid w:val="00585A69"/>
    <w:rsid w:val="00586DCA"/>
    <w:rsid w:val="00590875"/>
    <w:rsid w:val="00591CB1"/>
    <w:rsid w:val="00591DAC"/>
    <w:rsid w:val="00591E05"/>
    <w:rsid w:val="005941E9"/>
    <w:rsid w:val="00594D38"/>
    <w:rsid w:val="00594F4C"/>
    <w:rsid w:val="0059604D"/>
    <w:rsid w:val="005A1B49"/>
    <w:rsid w:val="005A1E28"/>
    <w:rsid w:val="005A5785"/>
    <w:rsid w:val="005B142E"/>
    <w:rsid w:val="005B1F73"/>
    <w:rsid w:val="005B2BEF"/>
    <w:rsid w:val="005B3426"/>
    <w:rsid w:val="005B3C93"/>
    <w:rsid w:val="005B3D18"/>
    <w:rsid w:val="005B475E"/>
    <w:rsid w:val="005B6EF2"/>
    <w:rsid w:val="005B7892"/>
    <w:rsid w:val="005C0951"/>
    <w:rsid w:val="005C0EDD"/>
    <w:rsid w:val="005C2C0C"/>
    <w:rsid w:val="005C2EFF"/>
    <w:rsid w:val="005C5604"/>
    <w:rsid w:val="005C68F3"/>
    <w:rsid w:val="005C6EA0"/>
    <w:rsid w:val="005D0E89"/>
    <w:rsid w:val="005D1D79"/>
    <w:rsid w:val="005D21A8"/>
    <w:rsid w:val="005D2CA8"/>
    <w:rsid w:val="005D57F4"/>
    <w:rsid w:val="005E04DE"/>
    <w:rsid w:val="005E1F47"/>
    <w:rsid w:val="005E2F21"/>
    <w:rsid w:val="005E39B6"/>
    <w:rsid w:val="005E5C33"/>
    <w:rsid w:val="005E67AB"/>
    <w:rsid w:val="005E67B3"/>
    <w:rsid w:val="005E73EE"/>
    <w:rsid w:val="005F109F"/>
    <w:rsid w:val="005F355A"/>
    <w:rsid w:val="005F3672"/>
    <w:rsid w:val="005F3DE2"/>
    <w:rsid w:val="005F5ABE"/>
    <w:rsid w:val="005F5E2C"/>
    <w:rsid w:val="005F6112"/>
    <w:rsid w:val="005F6485"/>
    <w:rsid w:val="00600EFA"/>
    <w:rsid w:val="006041A6"/>
    <w:rsid w:val="00604A50"/>
    <w:rsid w:val="00604E76"/>
    <w:rsid w:val="00605E0A"/>
    <w:rsid w:val="006067FC"/>
    <w:rsid w:val="006069A6"/>
    <w:rsid w:val="00610DFA"/>
    <w:rsid w:val="00612857"/>
    <w:rsid w:val="006132E5"/>
    <w:rsid w:val="00613C66"/>
    <w:rsid w:val="00615EF8"/>
    <w:rsid w:val="00621446"/>
    <w:rsid w:val="00621E15"/>
    <w:rsid w:val="0062440F"/>
    <w:rsid w:val="00625D1E"/>
    <w:rsid w:val="006262E1"/>
    <w:rsid w:val="00626949"/>
    <w:rsid w:val="00627D05"/>
    <w:rsid w:val="00630457"/>
    <w:rsid w:val="0063151F"/>
    <w:rsid w:val="00633FB0"/>
    <w:rsid w:val="00634FA1"/>
    <w:rsid w:val="00635EC4"/>
    <w:rsid w:val="00636743"/>
    <w:rsid w:val="0063688A"/>
    <w:rsid w:val="00636FE3"/>
    <w:rsid w:val="0063750D"/>
    <w:rsid w:val="00637F26"/>
    <w:rsid w:val="00641586"/>
    <w:rsid w:val="00646201"/>
    <w:rsid w:val="00647C9C"/>
    <w:rsid w:val="00647D82"/>
    <w:rsid w:val="006504BA"/>
    <w:rsid w:val="00651557"/>
    <w:rsid w:val="006525CB"/>
    <w:rsid w:val="0065384F"/>
    <w:rsid w:val="006540B6"/>
    <w:rsid w:val="00655A15"/>
    <w:rsid w:val="006577CB"/>
    <w:rsid w:val="00663621"/>
    <w:rsid w:val="00666E31"/>
    <w:rsid w:val="00670EDC"/>
    <w:rsid w:val="00671ED6"/>
    <w:rsid w:val="006721AB"/>
    <w:rsid w:val="006723A3"/>
    <w:rsid w:val="0067319B"/>
    <w:rsid w:val="006741EC"/>
    <w:rsid w:val="0067553E"/>
    <w:rsid w:val="00675EFD"/>
    <w:rsid w:val="006760A0"/>
    <w:rsid w:val="006760AF"/>
    <w:rsid w:val="00677137"/>
    <w:rsid w:val="00680520"/>
    <w:rsid w:val="00680DBD"/>
    <w:rsid w:val="00681313"/>
    <w:rsid w:val="006816E9"/>
    <w:rsid w:val="00682F13"/>
    <w:rsid w:val="0068302D"/>
    <w:rsid w:val="006847E4"/>
    <w:rsid w:val="006852CD"/>
    <w:rsid w:val="00685307"/>
    <w:rsid w:val="00685CBF"/>
    <w:rsid w:val="006863FF"/>
    <w:rsid w:val="006877C0"/>
    <w:rsid w:val="00692A07"/>
    <w:rsid w:val="00692F3E"/>
    <w:rsid w:val="00693166"/>
    <w:rsid w:val="00696926"/>
    <w:rsid w:val="00697552"/>
    <w:rsid w:val="00697A45"/>
    <w:rsid w:val="006A0665"/>
    <w:rsid w:val="006A197D"/>
    <w:rsid w:val="006A3568"/>
    <w:rsid w:val="006B0641"/>
    <w:rsid w:val="006B1935"/>
    <w:rsid w:val="006B2C54"/>
    <w:rsid w:val="006B3E3A"/>
    <w:rsid w:val="006B4481"/>
    <w:rsid w:val="006B4FCA"/>
    <w:rsid w:val="006C2050"/>
    <w:rsid w:val="006C2530"/>
    <w:rsid w:val="006C2683"/>
    <w:rsid w:val="006C377B"/>
    <w:rsid w:val="006C4A36"/>
    <w:rsid w:val="006D06D7"/>
    <w:rsid w:val="006D4122"/>
    <w:rsid w:val="006D518B"/>
    <w:rsid w:val="006D6333"/>
    <w:rsid w:val="006D70CB"/>
    <w:rsid w:val="006D772A"/>
    <w:rsid w:val="006E0C93"/>
    <w:rsid w:val="006E28A8"/>
    <w:rsid w:val="006E34FE"/>
    <w:rsid w:val="006F06A8"/>
    <w:rsid w:val="006F19FF"/>
    <w:rsid w:val="006F59B9"/>
    <w:rsid w:val="006F63AF"/>
    <w:rsid w:val="006F70E3"/>
    <w:rsid w:val="006F79A6"/>
    <w:rsid w:val="00700A74"/>
    <w:rsid w:val="00701406"/>
    <w:rsid w:val="00704CAF"/>
    <w:rsid w:val="00705144"/>
    <w:rsid w:val="0070632F"/>
    <w:rsid w:val="0070635C"/>
    <w:rsid w:val="00707979"/>
    <w:rsid w:val="00710087"/>
    <w:rsid w:val="00710674"/>
    <w:rsid w:val="0071097D"/>
    <w:rsid w:val="00710FE4"/>
    <w:rsid w:val="00713697"/>
    <w:rsid w:val="00713A7E"/>
    <w:rsid w:val="00715DCF"/>
    <w:rsid w:val="00720AE7"/>
    <w:rsid w:val="00724386"/>
    <w:rsid w:val="0072439D"/>
    <w:rsid w:val="00724ED0"/>
    <w:rsid w:val="00725E50"/>
    <w:rsid w:val="007323EC"/>
    <w:rsid w:val="00732713"/>
    <w:rsid w:val="00734E97"/>
    <w:rsid w:val="007400CF"/>
    <w:rsid w:val="0074125B"/>
    <w:rsid w:val="00742B38"/>
    <w:rsid w:val="007430D9"/>
    <w:rsid w:val="007437B5"/>
    <w:rsid w:val="00743923"/>
    <w:rsid w:val="0074466F"/>
    <w:rsid w:val="00745257"/>
    <w:rsid w:val="00745C2A"/>
    <w:rsid w:val="00746EE1"/>
    <w:rsid w:val="00747052"/>
    <w:rsid w:val="0075140D"/>
    <w:rsid w:val="007518DB"/>
    <w:rsid w:val="00752498"/>
    <w:rsid w:val="00752C7E"/>
    <w:rsid w:val="0075440A"/>
    <w:rsid w:val="00756288"/>
    <w:rsid w:val="007572D1"/>
    <w:rsid w:val="00757EAA"/>
    <w:rsid w:val="00763010"/>
    <w:rsid w:val="0076379F"/>
    <w:rsid w:val="0076493D"/>
    <w:rsid w:val="00764A2E"/>
    <w:rsid w:val="00766FE1"/>
    <w:rsid w:val="007677E7"/>
    <w:rsid w:val="00767BEB"/>
    <w:rsid w:val="00771D16"/>
    <w:rsid w:val="0077224E"/>
    <w:rsid w:val="0077258E"/>
    <w:rsid w:val="00772906"/>
    <w:rsid w:val="00772D52"/>
    <w:rsid w:val="00773F98"/>
    <w:rsid w:val="0077447F"/>
    <w:rsid w:val="0077504A"/>
    <w:rsid w:val="007768B1"/>
    <w:rsid w:val="0077725F"/>
    <w:rsid w:val="00777DF7"/>
    <w:rsid w:val="00777E97"/>
    <w:rsid w:val="00783440"/>
    <w:rsid w:val="0078668F"/>
    <w:rsid w:val="00790328"/>
    <w:rsid w:val="00790996"/>
    <w:rsid w:val="00791B76"/>
    <w:rsid w:val="007937EA"/>
    <w:rsid w:val="007938DF"/>
    <w:rsid w:val="00794654"/>
    <w:rsid w:val="00794CEE"/>
    <w:rsid w:val="00797F78"/>
    <w:rsid w:val="007A4093"/>
    <w:rsid w:val="007A4585"/>
    <w:rsid w:val="007A5220"/>
    <w:rsid w:val="007A5FB1"/>
    <w:rsid w:val="007A72A5"/>
    <w:rsid w:val="007B2601"/>
    <w:rsid w:val="007B59B5"/>
    <w:rsid w:val="007C1096"/>
    <w:rsid w:val="007C1892"/>
    <w:rsid w:val="007C5746"/>
    <w:rsid w:val="007D1E0C"/>
    <w:rsid w:val="007D3ACD"/>
    <w:rsid w:val="007E00FE"/>
    <w:rsid w:val="007E0534"/>
    <w:rsid w:val="007E074D"/>
    <w:rsid w:val="007E19BA"/>
    <w:rsid w:val="007E211D"/>
    <w:rsid w:val="007E2459"/>
    <w:rsid w:val="007E708F"/>
    <w:rsid w:val="007F1C06"/>
    <w:rsid w:val="007F2604"/>
    <w:rsid w:val="007F457D"/>
    <w:rsid w:val="007F7637"/>
    <w:rsid w:val="007F7E03"/>
    <w:rsid w:val="007F7FAB"/>
    <w:rsid w:val="0080171E"/>
    <w:rsid w:val="00803022"/>
    <w:rsid w:val="00804C90"/>
    <w:rsid w:val="00805BDA"/>
    <w:rsid w:val="00806C0F"/>
    <w:rsid w:val="00810299"/>
    <w:rsid w:val="00811B2D"/>
    <w:rsid w:val="00812E29"/>
    <w:rsid w:val="0081366B"/>
    <w:rsid w:val="0081378F"/>
    <w:rsid w:val="008165AC"/>
    <w:rsid w:val="0081663D"/>
    <w:rsid w:val="00816B00"/>
    <w:rsid w:val="008175F4"/>
    <w:rsid w:val="00817786"/>
    <w:rsid w:val="0082126A"/>
    <w:rsid w:val="00821B4D"/>
    <w:rsid w:val="008238B4"/>
    <w:rsid w:val="008238C7"/>
    <w:rsid w:val="00823B59"/>
    <w:rsid w:val="00827676"/>
    <w:rsid w:val="00832105"/>
    <w:rsid w:val="00832859"/>
    <w:rsid w:val="00832AC6"/>
    <w:rsid w:val="00835590"/>
    <w:rsid w:val="008379B8"/>
    <w:rsid w:val="00845B7E"/>
    <w:rsid w:val="008473C9"/>
    <w:rsid w:val="008522C7"/>
    <w:rsid w:val="0085408E"/>
    <w:rsid w:val="008541FE"/>
    <w:rsid w:val="0085517D"/>
    <w:rsid w:val="0085521E"/>
    <w:rsid w:val="00856956"/>
    <w:rsid w:val="0085753A"/>
    <w:rsid w:val="0086152E"/>
    <w:rsid w:val="00861858"/>
    <w:rsid w:val="008625E4"/>
    <w:rsid w:val="00864E71"/>
    <w:rsid w:val="0086629D"/>
    <w:rsid w:val="0087085F"/>
    <w:rsid w:val="0087245B"/>
    <w:rsid w:val="00872793"/>
    <w:rsid w:val="00872A6D"/>
    <w:rsid w:val="00873490"/>
    <w:rsid w:val="008738E8"/>
    <w:rsid w:val="00874808"/>
    <w:rsid w:val="00874B82"/>
    <w:rsid w:val="00876914"/>
    <w:rsid w:val="00877417"/>
    <w:rsid w:val="00877C2D"/>
    <w:rsid w:val="0088014C"/>
    <w:rsid w:val="008804A7"/>
    <w:rsid w:val="00882340"/>
    <w:rsid w:val="00882DEC"/>
    <w:rsid w:val="00883763"/>
    <w:rsid w:val="00884B57"/>
    <w:rsid w:val="00885B85"/>
    <w:rsid w:val="00886578"/>
    <w:rsid w:val="00887298"/>
    <w:rsid w:val="00887B7B"/>
    <w:rsid w:val="008941B0"/>
    <w:rsid w:val="00894992"/>
    <w:rsid w:val="00895C8A"/>
    <w:rsid w:val="00896B2C"/>
    <w:rsid w:val="008973D5"/>
    <w:rsid w:val="008A0B3D"/>
    <w:rsid w:val="008A0F11"/>
    <w:rsid w:val="008A10D6"/>
    <w:rsid w:val="008A57E8"/>
    <w:rsid w:val="008A61A5"/>
    <w:rsid w:val="008B0CC9"/>
    <w:rsid w:val="008C03C6"/>
    <w:rsid w:val="008C0DE1"/>
    <w:rsid w:val="008C28CD"/>
    <w:rsid w:val="008C34C8"/>
    <w:rsid w:val="008C49B8"/>
    <w:rsid w:val="008C55BF"/>
    <w:rsid w:val="008C782C"/>
    <w:rsid w:val="008D3217"/>
    <w:rsid w:val="008D3D3A"/>
    <w:rsid w:val="008D473A"/>
    <w:rsid w:val="008D5344"/>
    <w:rsid w:val="008D5F87"/>
    <w:rsid w:val="008D67CC"/>
    <w:rsid w:val="008E0E9A"/>
    <w:rsid w:val="008E2CC2"/>
    <w:rsid w:val="008E5992"/>
    <w:rsid w:val="008E7469"/>
    <w:rsid w:val="008F0B5F"/>
    <w:rsid w:val="008F0C10"/>
    <w:rsid w:val="008F273C"/>
    <w:rsid w:val="008F4A7B"/>
    <w:rsid w:val="008F7E2D"/>
    <w:rsid w:val="00900CA6"/>
    <w:rsid w:val="0090273E"/>
    <w:rsid w:val="00902D51"/>
    <w:rsid w:val="00904CCA"/>
    <w:rsid w:val="00904E97"/>
    <w:rsid w:val="00904FA7"/>
    <w:rsid w:val="0091063A"/>
    <w:rsid w:val="009124E4"/>
    <w:rsid w:val="00913275"/>
    <w:rsid w:val="00913DE5"/>
    <w:rsid w:val="00915B17"/>
    <w:rsid w:val="00916090"/>
    <w:rsid w:val="00917A95"/>
    <w:rsid w:val="00921D0F"/>
    <w:rsid w:val="009252A1"/>
    <w:rsid w:val="00930BBC"/>
    <w:rsid w:val="00933839"/>
    <w:rsid w:val="00937343"/>
    <w:rsid w:val="00937787"/>
    <w:rsid w:val="00937B9C"/>
    <w:rsid w:val="0094106F"/>
    <w:rsid w:val="00941675"/>
    <w:rsid w:val="009436C1"/>
    <w:rsid w:val="00944534"/>
    <w:rsid w:val="009473B3"/>
    <w:rsid w:val="00951217"/>
    <w:rsid w:val="009512A2"/>
    <w:rsid w:val="00951C64"/>
    <w:rsid w:val="009528C6"/>
    <w:rsid w:val="0095641A"/>
    <w:rsid w:val="00956A7D"/>
    <w:rsid w:val="0095718E"/>
    <w:rsid w:val="009579C1"/>
    <w:rsid w:val="009608C5"/>
    <w:rsid w:val="009610A7"/>
    <w:rsid w:val="0096268C"/>
    <w:rsid w:val="00962B3B"/>
    <w:rsid w:val="0096406D"/>
    <w:rsid w:val="009648C6"/>
    <w:rsid w:val="00965701"/>
    <w:rsid w:val="00967508"/>
    <w:rsid w:val="00967769"/>
    <w:rsid w:val="0096791A"/>
    <w:rsid w:val="00970D02"/>
    <w:rsid w:val="00971541"/>
    <w:rsid w:val="00972026"/>
    <w:rsid w:val="009731B6"/>
    <w:rsid w:val="009731DD"/>
    <w:rsid w:val="00974E14"/>
    <w:rsid w:val="00974F0E"/>
    <w:rsid w:val="00976FE7"/>
    <w:rsid w:val="009852CE"/>
    <w:rsid w:val="00986442"/>
    <w:rsid w:val="00993988"/>
    <w:rsid w:val="009A111D"/>
    <w:rsid w:val="009A11B1"/>
    <w:rsid w:val="009A1B15"/>
    <w:rsid w:val="009A2C82"/>
    <w:rsid w:val="009A3005"/>
    <w:rsid w:val="009A3933"/>
    <w:rsid w:val="009A4FDE"/>
    <w:rsid w:val="009A5386"/>
    <w:rsid w:val="009B146A"/>
    <w:rsid w:val="009B34D2"/>
    <w:rsid w:val="009B4648"/>
    <w:rsid w:val="009B515D"/>
    <w:rsid w:val="009C0178"/>
    <w:rsid w:val="009C0D77"/>
    <w:rsid w:val="009C1330"/>
    <w:rsid w:val="009C37A2"/>
    <w:rsid w:val="009C4A56"/>
    <w:rsid w:val="009C623B"/>
    <w:rsid w:val="009D04F1"/>
    <w:rsid w:val="009D0998"/>
    <w:rsid w:val="009D195B"/>
    <w:rsid w:val="009D21F8"/>
    <w:rsid w:val="009D2FE0"/>
    <w:rsid w:val="009D599F"/>
    <w:rsid w:val="009D777A"/>
    <w:rsid w:val="009E00CC"/>
    <w:rsid w:val="009E1621"/>
    <w:rsid w:val="009E227A"/>
    <w:rsid w:val="009E47C6"/>
    <w:rsid w:val="009E4E4D"/>
    <w:rsid w:val="009E4FE9"/>
    <w:rsid w:val="009E6298"/>
    <w:rsid w:val="009F0A59"/>
    <w:rsid w:val="009F2713"/>
    <w:rsid w:val="009F5065"/>
    <w:rsid w:val="009F6AF2"/>
    <w:rsid w:val="00A018D8"/>
    <w:rsid w:val="00A01BBA"/>
    <w:rsid w:val="00A01C28"/>
    <w:rsid w:val="00A02FD6"/>
    <w:rsid w:val="00A03C56"/>
    <w:rsid w:val="00A05E8B"/>
    <w:rsid w:val="00A1044D"/>
    <w:rsid w:val="00A11DD0"/>
    <w:rsid w:val="00A1284C"/>
    <w:rsid w:val="00A128B7"/>
    <w:rsid w:val="00A12E62"/>
    <w:rsid w:val="00A13F24"/>
    <w:rsid w:val="00A164C8"/>
    <w:rsid w:val="00A166B5"/>
    <w:rsid w:val="00A170A1"/>
    <w:rsid w:val="00A2139B"/>
    <w:rsid w:val="00A2439F"/>
    <w:rsid w:val="00A2505A"/>
    <w:rsid w:val="00A25896"/>
    <w:rsid w:val="00A259FB"/>
    <w:rsid w:val="00A278F2"/>
    <w:rsid w:val="00A3052F"/>
    <w:rsid w:val="00A30B71"/>
    <w:rsid w:val="00A3384E"/>
    <w:rsid w:val="00A37626"/>
    <w:rsid w:val="00A400BE"/>
    <w:rsid w:val="00A41D45"/>
    <w:rsid w:val="00A42452"/>
    <w:rsid w:val="00A42E70"/>
    <w:rsid w:val="00A43095"/>
    <w:rsid w:val="00A448AA"/>
    <w:rsid w:val="00A4566F"/>
    <w:rsid w:val="00A536C6"/>
    <w:rsid w:val="00A536FB"/>
    <w:rsid w:val="00A54A27"/>
    <w:rsid w:val="00A57364"/>
    <w:rsid w:val="00A6195A"/>
    <w:rsid w:val="00A62174"/>
    <w:rsid w:val="00A62D1A"/>
    <w:rsid w:val="00A6350F"/>
    <w:rsid w:val="00A63B5B"/>
    <w:rsid w:val="00A63CCB"/>
    <w:rsid w:val="00A64B7A"/>
    <w:rsid w:val="00A66304"/>
    <w:rsid w:val="00A702BB"/>
    <w:rsid w:val="00A708C8"/>
    <w:rsid w:val="00A71E14"/>
    <w:rsid w:val="00A722C4"/>
    <w:rsid w:val="00A80AF1"/>
    <w:rsid w:val="00A8196D"/>
    <w:rsid w:val="00A83DCC"/>
    <w:rsid w:val="00A84682"/>
    <w:rsid w:val="00A84F67"/>
    <w:rsid w:val="00A86082"/>
    <w:rsid w:val="00A86A4D"/>
    <w:rsid w:val="00A874CB"/>
    <w:rsid w:val="00A87B64"/>
    <w:rsid w:val="00A90C17"/>
    <w:rsid w:val="00A96019"/>
    <w:rsid w:val="00AA16FD"/>
    <w:rsid w:val="00AA1C13"/>
    <w:rsid w:val="00AA4A82"/>
    <w:rsid w:val="00AA4EA1"/>
    <w:rsid w:val="00AA5C7C"/>
    <w:rsid w:val="00AA62DA"/>
    <w:rsid w:val="00AA6AD8"/>
    <w:rsid w:val="00AB38DB"/>
    <w:rsid w:val="00AB4E78"/>
    <w:rsid w:val="00AB5B10"/>
    <w:rsid w:val="00AB5DE2"/>
    <w:rsid w:val="00AB614C"/>
    <w:rsid w:val="00AB7A05"/>
    <w:rsid w:val="00AC0091"/>
    <w:rsid w:val="00AC019C"/>
    <w:rsid w:val="00AC4095"/>
    <w:rsid w:val="00AC62BA"/>
    <w:rsid w:val="00AC7AE1"/>
    <w:rsid w:val="00AD0CCC"/>
    <w:rsid w:val="00AD218A"/>
    <w:rsid w:val="00AD4229"/>
    <w:rsid w:val="00AD4C30"/>
    <w:rsid w:val="00AD5052"/>
    <w:rsid w:val="00AD6BC2"/>
    <w:rsid w:val="00AD6EB7"/>
    <w:rsid w:val="00AD72C2"/>
    <w:rsid w:val="00AE56A7"/>
    <w:rsid w:val="00AE6B7B"/>
    <w:rsid w:val="00AE6D4F"/>
    <w:rsid w:val="00AE7B0B"/>
    <w:rsid w:val="00AF23BB"/>
    <w:rsid w:val="00AF2516"/>
    <w:rsid w:val="00AF3D57"/>
    <w:rsid w:val="00AF4EC5"/>
    <w:rsid w:val="00AF51D2"/>
    <w:rsid w:val="00AF5F01"/>
    <w:rsid w:val="00AF6D97"/>
    <w:rsid w:val="00AF79B7"/>
    <w:rsid w:val="00B01984"/>
    <w:rsid w:val="00B04ED6"/>
    <w:rsid w:val="00B057BA"/>
    <w:rsid w:val="00B07DDF"/>
    <w:rsid w:val="00B10192"/>
    <w:rsid w:val="00B11960"/>
    <w:rsid w:val="00B121DD"/>
    <w:rsid w:val="00B13D5D"/>
    <w:rsid w:val="00B15C25"/>
    <w:rsid w:val="00B15E20"/>
    <w:rsid w:val="00B16EA2"/>
    <w:rsid w:val="00B1783B"/>
    <w:rsid w:val="00B17A5B"/>
    <w:rsid w:val="00B21722"/>
    <w:rsid w:val="00B217EE"/>
    <w:rsid w:val="00B2183D"/>
    <w:rsid w:val="00B231D3"/>
    <w:rsid w:val="00B24E4B"/>
    <w:rsid w:val="00B262F2"/>
    <w:rsid w:val="00B30B1C"/>
    <w:rsid w:val="00B329CE"/>
    <w:rsid w:val="00B355EC"/>
    <w:rsid w:val="00B40C67"/>
    <w:rsid w:val="00B40F9C"/>
    <w:rsid w:val="00B46D1E"/>
    <w:rsid w:val="00B54469"/>
    <w:rsid w:val="00B6212E"/>
    <w:rsid w:val="00B62E96"/>
    <w:rsid w:val="00B63EB2"/>
    <w:rsid w:val="00B66180"/>
    <w:rsid w:val="00B707AD"/>
    <w:rsid w:val="00B70E3B"/>
    <w:rsid w:val="00B742BC"/>
    <w:rsid w:val="00B74A58"/>
    <w:rsid w:val="00B76A0A"/>
    <w:rsid w:val="00B8032E"/>
    <w:rsid w:val="00B81934"/>
    <w:rsid w:val="00B83805"/>
    <w:rsid w:val="00B83C6C"/>
    <w:rsid w:val="00B849EE"/>
    <w:rsid w:val="00B84ABA"/>
    <w:rsid w:val="00B94296"/>
    <w:rsid w:val="00B94EA7"/>
    <w:rsid w:val="00B955E7"/>
    <w:rsid w:val="00B966AE"/>
    <w:rsid w:val="00B978A4"/>
    <w:rsid w:val="00BA4074"/>
    <w:rsid w:val="00BA50AD"/>
    <w:rsid w:val="00BA78BB"/>
    <w:rsid w:val="00BA7E05"/>
    <w:rsid w:val="00BB05FF"/>
    <w:rsid w:val="00BB12CB"/>
    <w:rsid w:val="00BB2DF6"/>
    <w:rsid w:val="00BB38B5"/>
    <w:rsid w:val="00BB42BC"/>
    <w:rsid w:val="00BB5077"/>
    <w:rsid w:val="00BB57E1"/>
    <w:rsid w:val="00BB5AB8"/>
    <w:rsid w:val="00BB73B5"/>
    <w:rsid w:val="00BC03DA"/>
    <w:rsid w:val="00BC102C"/>
    <w:rsid w:val="00BC33FA"/>
    <w:rsid w:val="00BC34C8"/>
    <w:rsid w:val="00BC5C52"/>
    <w:rsid w:val="00BC7066"/>
    <w:rsid w:val="00BD05AC"/>
    <w:rsid w:val="00BD37F4"/>
    <w:rsid w:val="00BD58DF"/>
    <w:rsid w:val="00BD6916"/>
    <w:rsid w:val="00BD7F48"/>
    <w:rsid w:val="00BE24AE"/>
    <w:rsid w:val="00BE3DA4"/>
    <w:rsid w:val="00BE433A"/>
    <w:rsid w:val="00BE6F92"/>
    <w:rsid w:val="00BF716B"/>
    <w:rsid w:val="00BF76A4"/>
    <w:rsid w:val="00BF774D"/>
    <w:rsid w:val="00C01DB5"/>
    <w:rsid w:val="00C026BD"/>
    <w:rsid w:val="00C02FDA"/>
    <w:rsid w:val="00C031DF"/>
    <w:rsid w:val="00C047D1"/>
    <w:rsid w:val="00C0763D"/>
    <w:rsid w:val="00C10762"/>
    <w:rsid w:val="00C10D2E"/>
    <w:rsid w:val="00C114DA"/>
    <w:rsid w:val="00C22C51"/>
    <w:rsid w:val="00C230CE"/>
    <w:rsid w:val="00C24314"/>
    <w:rsid w:val="00C2587B"/>
    <w:rsid w:val="00C26D0F"/>
    <w:rsid w:val="00C26DA9"/>
    <w:rsid w:val="00C27AA3"/>
    <w:rsid w:val="00C27AB8"/>
    <w:rsid w:val="00C30BAA"/>
    <w:rsid w:val="00C310B1"/>
    <w:rsid w:val="00C31764"/>
    <w:rsid w:val="00C34473"/>
    <w:rsid w:val="00C349C3"/>
    <w:rsid w:val="00C3523D"/>
    <w:rsid w:val="00C3526B"/>
    <w:rsid w:val="00C374A1"/>
    <w:rsid w:val="00C41E3A"/>
    <w:rsid w:val="00C4223B"/>
    <w:rsid w:val="00C4684B"/>
    <w:rsid w:val="00C474C1"/>
    <w:rsid w:val="00C475F9"/>
    <w:rsid w:val="00C50049"/>
    <w:rsid w:val="00C51B05"/>
    <w:rsid w:val="00C5542D"/>
    <w:rsid w:val="00C561D7"/>
    <w:rsid w:val="00C56EAD"/>
    <w:rsid w:val="00C6050F"/>
    <w:rsid w:val="00C629BF"/>
    <w:rsid w:val="00C63190"/>
    <w:rsid w:val="00C63B74"/>
    <w:rsid w:val="00C648DC"/>
    <w:rsid w:val="00C6661D"/>
    <w:rsid w:val="00C708D3"/>
    <w:rsid w:val="00C70DC9"/>
    <w:rsid w:val="00C71321"/>
    <w:rsid w:val="00C74398"/>
    <w:rsid w:val="00C744A9"/>
    <w:rsid w:val="00C75114"/>
    <w:rsid w:val="00C75166"/>
    <w:rsid w:val="00C77730"/>
    <w:rsid w:val="00C816ED"/>
    <w:rsid w:val="00C81B52"/>
    <w:rsid w:val="00C925C9"/>
    <w:rsid w:val="00C92B54"/>
    <w:rsid w:val="00C930ED"/>
    <w:rsid w:val="00C971F5"/>
    <w:rsid w:val="00CA023B"/>
    <w:rsid w:val="00CA1F75"/>
    <w:rsid w:val="00CA236D"/>
    <w:rsid w:val="00CA527A"/>
    <w:rsid w:val="00CA5795"/>
    <w:rsid w:val="00CA5A22"/>
    <w:rsid w:val="00CA6523"/>
    <w:rsid w:val="00CA6FEB"/>
    <w:rsid w:val="00CB3707"/>
    <w:rsid w:val="00CB49A0"/>
    <w:rsid w:val="00CB6878"/>
    <w:rsid w:val="00CC2403"/>
    <w:rsid w:val="00CC2780"/>
    <w:rsid w:val="00CC423D"/>
    <w:rsid w:val="00CC56CB"/>
    <w:rsid w:val="00CC59E8"/>
    <w:rsid w:val="00CC5DD0"/>
    <w:rsid w:val="00CD16C0"/>
    <w:rsid w:val="00CD3AC6"/>
    <w:rsid w:val="00CD5341"/>
    <w:rsid w:val="00CD5368"/>
    <w:rsid w:val="00CD6879"/>
    <w:rsid w:val="00CD7647"/>
    <w:rsid w:val="00CE1360"/>
    <w:rsid w:val="00CE1BFA"/>
    <w:rsid w:val="00CE4228"/>
    <w:rsid w:val="00CE464B"/>
    <w:rsid w:val="00CE4903"/>
    <w:rsid w:val="00CF046A"/>
    <w:rsid w:val="00CF0491"/>
    <w:rsid w:val="00CF05CC"/>
    <w:rsid w:val="00CF2A4F"/>
    <w:rsid w:val="00CF359B"/>
    <w:rsid w:val="00CF5B92"/>
    <w:rsid w:val="00CF7ECD"/>
    <w:rsid w:val="00D00BC1"/>
    <w:rsid w:val="00D01387"/>
    <w:rsid w:val="00D039FD"/>
    <w:rsid w:val="00D03D95"/>
    <w:rsid w:val="00D05E32"/>
    <w:rsid w:val="00D07E01"/>
    <w:rsid w:val="00D10723"/>
    <w:rsid w:val="00D11DCA"/>
    <w:rsid w:val="00D155BF"/>
    <w:rsid w:val="00D165F9"/>
    <w:rsid w:val="00D20420"/>
    <w:rsid w:val="00D21222"/>
    <w:rsid w:val="00D224EA"/>
    <w:rsid w:val="00D244A0"/>
    <w:rsid w:val="00D268A6"/>
    <w:rsid w:val="00D26A30"/>
    <w:rsid w:val="00D31056"/>
    <w:rsid w:val="00D32454"/>
    <w:rsid w:val="00D34A73"/>
    <w:rsid w:val="00D35F2C"/>
    <w:rsid w:val="00D377E8"/>
    <w:rsid w:val="00D37C7D"/>
    <w:rsid w:val="00D411F4"/>
    <w:rsid w:val="00D41842"/>
    <w:rsid w:val="00D42FF6"/>
    <w:rsid w:val="00D45E3A"/>
    <w:rsid w:val="00D46314"/>
    <w:rsid w:val="00D4633D"/>
    <w:rsid w:val="00D53AC1"/>
    <w:rsid w:val="00D53DB1"/>
    <w:rsid w:val="00D540BA"/>
    <w:rsid w:val="00D549E4"/>
    <w:rsid w:val="00D54AEE"/>
    <w:rsid w:val="00D60CE0"/>
    <w:rsid w:val="00D612BE"/>
    <w:rsid w:val="00D61B6D"/>
    <w:rsid w:val="00D6291C"/>
    <w:rsid w:val="00D63AA8"/>
    <w:rsid w:val="00D65D7A"/>
    <w:rsid w:val="00D66D3A"/>
    <w:rsid w:val="00D66EB4"/>
    <w:rsid w:val="00D7288D"/>
    <w:rsid w:val="00D769B5"/>
    <w:rsid w:val="00D775E7"/>
    <w:rsid w:val="00D77C73"/>
    <w:rsid w:val="00D82644"/>
    <w:rsid w:val="00D83313"/>
    <w:rsid w:val="00D8383F"/>
    <w:rsid w:val="00D839F1"/>
    <w:rsid w:val="00D83A11"/>
    <w:rsid w:val="00D8682A"/>
    <w:rsid w:val="00D8701D"/>
    <w:rsid w:val="00D90A21"/>
    <w:rsid w:val="00D92E86"/>
    <w:rsid w:val="00D933AC"/>
    <w:rsid w:val="00D94158"/>
    <w:rsid w:val="00D9494B"/>
    <w:rsid w:val="00D949CD"/>
    <w:rsid w:val="00D95D9B"/>
    <w:rsid w:val="00D975DE"/>
    <w:rsid w:val="00DA1CF8"/>
    <w:rsid w:val="00DA2BBD"/>
    <w:rsid w:val="00DA4664"/>
    <w:rsid w:val="00DA4751"/>
    <w:rsid w:val="00DA4FA1"/>
    <w:rsid w:val="00DA58DC"/>
    <w:rsid w:val="00DA6521"/>
    <w:rsid w:val="00DB100D"/>
    <w:rsid w:val="00DB2521"/>
    <w:rsid w:val="00DB25FB"/>
    <w:rsid w:val="00DB2EA8"/>
    <w:rsid w:val="00DB3FB7"/>
    <w:rsid w:val="00DB626C"/>
    <w:rsid w:val="00DB6F8C"/>
    <w:rsid w:val="00DB7A7D"/>
    <w:rsid w:val="00DC1504"/>
    <w:rsid w:val="00DC1DE6"/>
    <w:rsid w:val="00DC33CF"/>
    <w:rsid w:val="00DC34D7"/>
    <w:rsid w:val="00DC612F"/>
    <w:rsid w:val="00DC7D91"/>
    <w:rsid w:val="00DD2270"/>
    <w:rsid w:val="00DD3ACC"/>
    <w:rsid w:val="00DD46C6"/>
    <w:rsid w:val="00DD5D3A"/>
    <w:rsid w:val="00DD607D"/>
    <w:rsid w:val="00DD70CC"/>
    <w:rsid w:val="00DE0188"/>
    <w:rsid w:val="00DE499F"/>
    <w:rsid w:val="00DE5769"/>
    <w:rsid w:val="00DE5E44"/>
    <w:rsid w:val="00DE6F02"/>
    <w:rsid w:val="00DF0AD1"/>
    <w:rsid w:val="00DF16EB"/>
    <w:rsid w:val="00DF457F"/>
    <w:rsid w:val="00DF4E21"/>
    <w:rsid w:val="00DF56B5"/>
    <w:rsid w:val="00DF57E7"/>
    <w:rsid w:val="00DF5979"/>
    <w:rsid w:val="00DF5F23"/>
    <w:rsid w:val="00DF68BE"/>
    <w:rsid w:val="00DF711B"/>
    <w:rsid w:val="00E00186"/>
    <w:rsid w:val="00E02895"/>
    <w:rsid w:val="00E02996"/>
    <w:rsid w:val="00E03431"/>
    <w:rsid w:val="00E03D6A"/>
    <w:rsid w:val="00E060A0"/>
    <w:rsid w:val="00E07AA5"/>
    <w:rsid w:val="00E10E5F"/>
    <w:rsid w:val="00E12729"/>
    <w:rsid w:val="00E1298E"/>
    <w:rsid w:val="00E13A04"/>
    <w:rsid w:val="00E13D5F"/>
    <w:rsid w:val="00E14D0F"/>
    <w:rsid w:val="00E1583C"/>
    <w:rsid w:val="00E15BF5"/>
    <w:rsid w:val="00E160CF"/>
    <w:rsid w:val="00E16AD9"/>
    <w:rsid w:val="00E23004"/>
    <w:rsid w:val="00E23217"/>
    <w:rsid w:val="00E241BB"/>
    <w:rsid w:val="00E254E4"/>
    <w:rsid w:val="00E25CB8"/>
    <w:rsid w:val="00E26178"/>
    <w:rsid w:val="00E26C61"/>
    <w:rsid w:val="00E302DD"/>
    <w:rsid w:val="00E30C6D"/>
    <w:rsid w:val="00E30F5C"/>
    <w:rsid w:val="00E310B1"/>
    <w:rsid w:val="00E31C45"/>
    <w:rsid w:val="00E32625"/>
    <w:rsid w:val="00E3590E"/>
    <w:rsid w:val="00E409FC"/>
    <w:rsid w:val="00E40A88"/>
    <w:rsid w:val="00E40E29"/>
    <w:rsid w:val="00E42FD8"/>
    <w:rsid w:val="00E43683"/>
    <w:rsid w:val="00E43C6E"/>
    <w:rsid w:val="00E43C91"/>
    <w:rsid w:val="00E43EAA"/>
    <w:rsid w:val="00E44E9C"/>
    <w:rsid w:val="00E451EE"/>
    <w:rsid w:val="00E46C9C"/>
    <w:rsid w:val="00E476D4"/>
    <w:rsid w:val="00E51FD5"/>
    <w:rsid w:val="00E53536"/>
    <w:rsid w:val="00E5574E"/>
    <w:rsid w:val="00E600D2"/>
    <w:rsid w:val="00E62D46"/>
    <w:rsid w:val="00E63AE2"/>
    <w:rsid w:val="00E6565E"/>
    <w:rsid w:val="00E66BD9"/>
    <w:rsid w:val="00E67F5C"/>
    <w:rsid w:val="00E7140A"/>
    <w:rsid w:val="00E75353"/>
    <w:rsid w:val="00E769D5"/>
    <w:rsid w:val="00E76BD6"/>
    <w:rsid w:val="00E774CC"/>
    <w:rsid w:val="00E8034C"/>
    <w:rsid w:val="00E8190D"/>
    <w:rsid w:val="00E82022"/>
    <w:rsid w:val="00E8268A"/>
    <w:rsid w:val="00E843E5"/>
    <w:rsid w:val="00E865A0"/>
    <w:rsid w:val="00E868D1"/>
    <w:rsid w:val="00E92461"/>
    <w:rsid w:val="00E95035"/>
    <w:rsid w:val="00E95E7C"/>
    <w:rsid w:val="00E9638A"/>
    <w:rsid w:val="00EA0043"/>
    <w:rsid w:val="00EA2D01"/>
    <w:rsid w:val="00EA30AE"/>
    <w:rsid w:val="00EA5372"/>
    <w:rsid w:val="00EA5BFA"/>
    <w:rsid w:val="00EA7607"/>
    <w:rsid w:val="00EA7E09"/>
    <w:rsid w:val="00EB128E"/>
    <w:rsid w:val="00EB271E"/>
    <w:rsid w:val="00EC0F1C"/>
    <w:rsid w:val="00EC36E4"/>
    <w:rsid w:val="00EC4741"/>
    <w:rsid w:val="00EC5762"/>
    <w:rsid w:val="00EC6765"/>
    <w:rsid w:val="00EC7887"/>
    <w:rsid w:val="00ED052A"/>
    <w:rsid w:val="00ED259A"/>
    <w:rsid w:val="00ED3386"/>
    <w:rsid w:val="00ED7487"/>
    <w:rsid w:val="00EE0054"/>
    <w:rsid w:val="00EE04E1"/>
    <w:rsid w:val="00EE0D86"/>
    <w:rsid w:val="00EE2CC6"/>
    <w:rsid w:val="00EE36D9"/>
    <w:rsid w:val="00EE430A"/>
    <w:rsid w:val="00EE46AD"/>
    <w:rsid w:val="00EE6D7C"/>
    <w:rsid w:val="00EE7B4E"/>
    <w:rsid w:val="00EF3A1F"/>
    <w:rsid w:val="00EF3B85"/>
    <w:rsid w:val="00EF4DBF"/>
    <w:rsid w:val="00EF4E5D"/>
    <w:rsid w:val="00EF598C"/>
    <w:rsid w:val="00EF5B37"/>
    <w:rsid w:val="00EF6961"/>
    <w:rsid w:val="00F00EDB"/>
    <w:rsid w:val="00F0101D"/>
    <w:rsid w:val="00F01A30"/>
    <w:rsid w:val="00F02427"/>
    <w:rsid w:val="00F02A9C"/>
    <w:rsid w:val="00F02BF7"/>
    <w:rsid w:val="00F042E1"/>
    <w:rsid w:val="00F06DF7"/>
    <w:rsid w:val="00F1090C"/>
    <w:rsid w:val="00F10A27"/>
    <w:rsid w:val="00F126D9"/>
    <w:rsid w:val="00F1325F"/>
    <w:rsid w:val="00F13E4D"/>
    <w:rsid w:val="00F166CC"/>
    <w:rsid w:val="00F225BA"/>
    <w:rsid w:val="00F23A39"/>
    <w:rsid w:val="00F23DBD"/>
    <w:rsid w:val="00F23FE9"/>
    <w:rsid w:val="00F270AB"/>
    <w:rsid w:val="00F27902"/>
    <w:rsid w:val="00F3018A"/>
    <w:rsid w:val="00F3071E"/>
    <w:rsid w:val="00F31439"/>
    <w:rsid w:val="00F314A6"/>
    <w:rsid w:val="00F33B1A"/>
    <w:rsid w:val="00F35BD9"/>
    <w:rsid w:val="00F35BE5"/>
    <w:rsid w:val="00F367B2"/>
    <w:rsid w:val="00F415A9"/>
    <w:rsid w:val="00F4203F"/>
    <w:rsid w:val="00F42CAC"/>
    <w:rsid w:val="00F437C8"/>
    <w:rsid w:val="00F43C92"/>
    <w:rsid w:val="00F43FB9"/>
    <w:rsid w:val="00F45335"/>
    <w:rsid w:val="00F464D6"/>
    <w:rsid w:val="00F46B21"/>
    <w:rsid w:val="00F51243"/>
    <w:rsid w:val="00F54D2F"/>
    <w:rsid w:val="00F561B0"/>
    <w:rsid w:val="00F5721F"/>
    <w:rsid w:val="00F573D3"/>
    <w:rsid w:val="00F60109"/>
    <w:rsid w:val="00F62381"/>
    <w:rsid w:val="00F6505B"/>
    <w:rsid w:val="00F736B8"/>
    <w:rsid w:val="00F73A78"/>
    <w:rsid w:val="00F747C0"/>
    <w:rsid w:val="00F764B1"/>
    <w:rsid w:val="00F76B59"/>
    <w:rsid w:val="00F805EF"/>
    <w:rsid w:val="00F81BEF"/>
    <w:rsid w:val="00F82182"/>
    <w:rsid w:val="00F823BF"/>
    <w:rsid w:val="00F85DA3"/>
    <w:rsid w:val="00F87780"/>
    <w:rsid w:val="00F87CFD"/>
    <w:rsid w:val="00F9037E"/>
    <w:rsid w:val="00F9387E"/>
    <w:rsid w:val="00F93BE4"/>
    <w:rsid w:val="00F94009"/>
    <w:rsid w:val="00F961A8"/>
    <w:rsid w:val="00FA0B1A"/>
    <w:rsid w:val="00FA0D68"/>
    <w:rsid w:val="00FA1FC2"/>
    <w:rsid w:val="00FA255C"/>
    <w:rsid w:val="00FA7C02"/>
    <w:rsid w:val="00FB0A3F"/>
    <w:rsid w:val="00FB0FED"/>
    <w:rsid w:val="00FB136B"/>
    <w:rsid w:val="00FB1715"/>
    <w:rsid w:val="00FB293F"/>
    <w:rsid w:val="00FB315E"/>
    <w:rsid w:val="00FB53F9"/>
    <w:rsid w:val="00FB62D7"/>
    <w:rsid w:val="00FB7FDF"/>
    <w:rsid w:val="00FC1889"/>
    <w:rsid w:val="00FC197D"/>
    <w:rsid w:val="00FC1A08"/>
    <w:rsid w:val="00FC241C"/>
    <w:rsid w:val="00FC5545"/>
    <w:rsid w:val="00FD1843"/>
    <w:rsid w:val="00FD2238"/>
    <w:rsid w:val="00FD404B"/>
    <w:rsid w:val="00FE02D3"/>
    <w:rsid w:val="00FE072E"/>
    <w:rsid w:val="00FE08AD"/>
    <w:rsid w:val="00FE2105"/>
    <w:rsid w:val="00FE2215"/>
    <w:rsid w:val="00FE2C8E"/>
    <w:rsid w:val="00FE3361"/>
    <w:rsid w:val="00FE385C"/>
    <w:rsid w:val="00FE3F5A"/>
    <w:rsid w:val="00FE4BA9"/>
    <w:rsid w:val="00FE6683"/>
    <w:rsid w:val="00FE6A19"/>
    <w:rsid w:val="00FE7755"/>
    <w:rsid w:val="00FF0D35"/>
    <w:rsid w:val="00FF1F6F"/>
    <w:rsid w:val="00FF2544"/>
    <w:rsid w:val="00FF3478"/>
    <w:rsid w:val="00FF62BD"/>
    <w:rsid w:val="00FF6ED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37EB55-4E16-4AF2-919A-26EB419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CFD"/>
    <w:pPr>
      <w:spacing w:after="0" w:line="240" w:lineRule="auto"/>
      <w:jc w:val="both"/>
    </w:pPr>
    <w:rPr>
      <w:rFonts w:ascii="Arial" w:hAnsi="Arial" w:cs="Arial"/>
      <w:sz w:val="24"/>
      <w:szCs w:val="24"/>
      <w:lang w:val="en-GB" w:eastAsia="en-GB"/>
    </w:rPr>
  </w:style>
  <w:style w:type="paragraph" w:styleId="Heading1">
    <w:name w:val="heading 1"/>
    <w:basedOn w:val="Normal"/>
    <w:link w:val="Heading1Char"/>
    <w:uiPriority w:val="99"/>
    <w:qFormat/>
    <w:rsid w:val="00542373"/>
    <w:pPr>
      <w:ind w:left="1440" w:firstLine="720"/>
      <w:outlineLvl w:val="0"/>
    </w:pPr>
    <w:rPr>
      <w:rFonts w:ascii="Tahoma" w:hAnsi="Tahoma" w:cs="Tahoma"/>
      <w:i/>
      <w:iCs/>
      <w:kern w:val="36"/>
      <w:sz w:val="32"/>
      <w:szCs w:val="32"/>
      <w:lang w:val="en-US"/>
    </w:rPr>
  </w:style>
  <w:style w:type="paragraph" w:styleId="Heading2">
    <w:name w:val="heading 2"/>
    <w:basedOn w:val="Normal"/>
    <w:link w:val="Heading2Char"/>
    <w:uiPriority w:val="99"/>
    <w:qFormat/>
    <w:rsid w:val="00542373"/>
    <w:pPr>
      <w:ind w:left="1440" w:firstLine="720"/>
      <w:jc w:val="right"/>
      <w:outlineLvl w:val="1"/>
    </w:pPr>
    <w:rPr>
      <w:rFonts w:ascii="Tahoma" w:hAnsi="Tahoma" w:cs="Tahoma"/>
      <w:i/>
      <w:iCs/>
      <w:sz w:val="32"/>
      <w:szCs w:val="32"/>
      <w:lang w:val="en-US"/>
    </w:rPr>
  </w:style>
  <w:style w:type="paragraph" w:styleId="Heading3">
    <w:name w:val="heading 3"/>
    <w:basedOn w:val="Normal"/>
    <w:link w:val="Heading3Char"/>
    <w:uiPriority w:val="99"/>
    <w:qFormat/>
    <w:rsid w:val="00542373"/>
    <w:pPr>
      <w:outlineLvl w:val="2"/>
    </w:pPr>
    <w:rPr>
      <w:i/>
      <w:iCs/>
      <w:lang w:val="en-US"/>
    </w:rPr>
  </w:style>
  <w:style w:type="paragraph" w:styleId="Heading4">
    <w:name w:val="heading 4"/>
    <w:basedOn w:val="Normal"/>
    <w:link w:val="Heading4Char"/>
    <w:uiPriority w:val="99"/>
    <w:qFormat/>
    <w:rsid w:val="00542373"/>
    <w:pPr>
      <w:outlineLvl w:val="3"/>
    </w:pPr>
    <w:rPr>
      <w:b/>
      <w:bCs/>
      <w:i/>
      <w:iCs/>
      <w:lang w:val="en-US"/>
    </w:rPr>
  </w:style>
  <w:style w:type="paragraph" w:styleId="Heading5">
    <w:name w:val="heading 5"/>
    <w:basedOn w:val="Normal"/>
    <w:link w:val="Heading5Char"/>
    <w:uiPriority w:val="99"/>
    <w:qFormat/>
    <w:rsid w:val="00542373"/>
    <w:pPr>
      <w:outlineLvl w:val="4"/>
    </w:pPr>
    <w:rPr>
      <w:b/>
      <w:bCs/>
      <w:lang w:val="en-US"/>
    </w:rPr>
  </w:style>
  <w:style w:type="paragraph" w:styleId="Heading8">
    <w:name w:val="heading 8"/>
    <w:basedOn w:val="Normal"/>
    <w:next w:val="Normal"/>
    <w:link w:val="Heading8Char"/>
    <w:uiPriority w:val="99"/>
    <w:qFormat/>
    <w:rsid w:val="006C4A36"/>
    <w:pPr>
      <w:spacing w:before="240" w:after="60"/>
      <w:jc w:val="left"/>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GB"/>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GB"/>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GB"/>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en-GB"/>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en-GB"/>
    </w:rPr>
  </w:style>
  <w:style w:type="paragraph" w:customStyle="1" w:styleId="normalfont">
    <w:name w:val="normalfont"/>
    <w:basedOn w:val="Normal"/>
    <w:uiPriority w:val="99"/>
    <w:rsid w:val="00F94009"/>
    <w:pPr>
      <w:spacing w:before="100" w:beforeAutospacing="1" w:after="100" w:afterAutospacing="1"/>
    </w:pPr>
    <w:rPr>
      <w:rFonts w:ascii="Verdana" w:hAnsi="Verdana" w:cs="Verdana"/>
      <w:color w:val="000000"/>
      <w:sz w:val="14"/>
      <w:szCs w:val="14"/>
      <w:lang w:val="en-US"/>
    </w:rPr>
  </w:style>
  <w:style w:type="character" w:styleId="Hyperlink">
    <w:name w:val="Hyperlink"/>
    <w:basedOn w:val="DefaultParagraphFont"/>
    <w:uiPriority w:val="99"/>
    <w:rsid w:val="00F94009"/>
    <w:rPr>
      <w:rFonts w:cs="Times New Roman"/>
      <w:color w:val="0000FF"/>
      <w:u w:val="single"/>
    </w:rPr>
  </w:style>
  <w:style w:type="paragraph" w:styleId="NormalWeb">
    <w:name w:val="Normal (Web)"/>
    <w:basedOn w:val="Normal"/>
    <w:uiPriority w:val="99"/>
    <w:rsid w:val="00621446"/>
    <w:pPr>
      <w:spacing w:before="100" w:beforeAutospacing="1" w:after="100" w:afterAutospacing="1"/>
    </w:pPr>
    <w:rPr>
      <w:lang w:val="en-US"/>
    </w:rPr>
  </w:style>
  <w:style w:type="table" w:styleId="TableGrid">
    <w:name w:val="Table Grid"/>
    <w:basedOn w:val="TableNormal"/>
    <w:uiPriority w:val="99"/>
    <w:rsid w:val="002E007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4822"/>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en-GB" w:eastAsia="en-GB"/>
    </w:rPr>
  </w:style>
  <w:style w:type="character" w:styleId="PageNumber">
    <w:name w:val="page number"/>
    <w:basedOn w:val="DefaultParagraphFont"/>
    <w:uiPriority w:val="99"/>
    <w:rsid w:val="00134822"/>
    <w:rPr>
      <w:rFonts w:cs="Times New Roman"/>
    </w:rPr>
  </w:style>
  <w:style w:type="character" w:styleId="FollowedHyperlink">
    <w:name w:val="FollowedHyperlink"/>
    <w:basedOn w:val="DefaultParagraphFont"/>
    <w:uiPriority w:val="99"/>
    <w:rsid w:val="0071097D"/>
    <w:rPr>
      <w:rFonts w:cs="Times New Roman"/>
      <w:color w:val="0000FF"/>
      <w:u w:val="single"/>
    </w:rPr>
  </w:style>
  <w:style w:type="character" w:customStyle="1" w:styleId="toctoggle">
    <w:name w:val="toctoggle"/>
    <w:basedOn w:val="DefaultParagraphFont"/>
    <w:uiPriority w:val="99"/>
    <w:rsid w:val="0071097D"/>
    <w:rPr>
      <w:rFonts w:cs="Times New Roman"/>
    </w:rPr>
  </w:style>
  <w:style w:type="character" w:customStyle="1" w:styleId="tocnumber">
    <w:name w:val="tocnumber"/>
    <w:basedOn w:val="DefaultParagraphFont"/>
    <w:uiPriority w:val="99"/>
    <w:rsid w:val="0071097D"/>
    <w:rPr>
      <w:rFonts w:cs="Times New Roman"/>
    </w:rPr>
  </w:style>
  <w:style w:type="character" w:customStyle="1" w:styleId="toctext">
    <w:name w:val="toctext"/>
    <w:basedOn w:val="DefaultParagraphFont"/>
    <w:uiPriority w:val="99"/>
    <w:rsid w:val="0071097D"/>
    <w:rPr>
      <w:rFonts w:cs="Times New Roman"/>
    </w:rPr>
  </w:style>
  <w:style w:type="character" w:customStyle="1" w:styleId="editsection">
    <w:name w:val="editsection"/>
    <w:basedOn w:val="DefaultParagraphFont"/>
    <w:uiPriority w:val="99"/>
    <w:rsid w:val="0071097D"/>
    <w:rPr>
      <w:rFonts w:cs="Times New Roman"/>
    </w:rPr>
  </w:style>
  <w:style w:type="character" w:customStyle="1" w:styleId="mw-headline">
    <w:name w:val="mw-headline"/>
    <w:basedOn w:val="DefaultParagraphFont"/>
    <w:uiPriority w:val="99"/>
    <w:rsid w:val="0071097D"/>
    <w:rPr>
      <w:rFonts w:cs="Times New Roman"/>
    </w:rPr>
  </w:style>
  <w:style w:type="paragraph" w:customStyle="1" w:styleId="catlinks">
    <w:name w:val="catlinks"/>
    <w:basedOn w:val="Normal"/>
    <w:uiPriority w:val="99"/>
    <w:rsid w:val="0071097D"/>
    <w:pPr>
      <w:spacing w:before="100" w:beforeAutospacing="1" w:after="100" w:afterAutospacing="1"/>
    </w:pPr>
  </w:style>
  <w:style w:type="paragraph" w:styleId="z-TopofForm">
    <w:name w:val="HTML Top of Form"/>
    <w:basedOn w:val="Normal"/>
    <w:next w:val="Normal"/>
    <w:link w:val="z-TopofFormChar"/>
    <w:hidden/>
    <w:uiPriority w:val="99"/>
    <w:rsid w:val="0071097D"/>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71097D"/>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val="en-GB" w:eastAsia="en-GB"/>
    </w:rPr>
  </w:style>
  <w:style w:type="character" w:customStyle="1" w:styleId="subtitle1">
    <w:name w:val="subtitle1"/>
    <w:basedOn w:val="DefaultParagraphFont"/>
    <w:uiPriority w:val="99"/>
    <w:rsid w:val="00CC2780"/>
    <w:rPr>
      <w:rFonts w:ascii="Arial" w:hAnsi="Arial" w:cs="Arial"/>
      <w:b/>
      <w:bCs/>
      <w:i/>
      <w:iCs/>
      <w:color w:val="auto"/>
      <w:sz w:val="21"/>
      <w:szCs w:val="21"/>
    </w:rPr>
  </w:style>
  <w:style w:type="character" w:customStyle="1" w:styleId="scripref1">
    <w:name w:val="scripref1"/>
    <w:basedOn w:val="DefaultParagraphFont"/>
    <w:uiPriority w:val="99"/>
    <w:rsid w:val="00CC2780"/>
    <w:rPr>
      <w:rFonts w:ascii="Arial" w:hAnsi="Arial" w:cs="Arial"/>
      <w:b/>
      <w:bCs/>
      <w:color w:val="auto"/>
      <w:sz w:val="18"/>
      <w:szCs w:val="18"/>
    </w:rPr>
  </w:style>
  <w:style w:type="character" w:customStyle="1" w:styleId="scriptext1">
    <w:name w:val="scriptext1"/>
    <w:basedOn w:val="DefaultParagraphFont"/>
    <w:uiPriority w:val="99"/>
    <w:rsid w:val="00CC2780"/>
    <w:rPr>
      <w:rFonts w:ascii="Arial" w:hAnsi="Arial" w:cs="Arial"/>
      <w:b/>
      <w:bCs/>
      <w:color w:val="auto"/>
      <w:sz w:val="18"/>
      <w:szCs w:val="18"/>
    </w:rPr>
  </w:style>
  <w:style w:type="character" w:customStyle="1" w:styleId="signature1">
    <w:name w:val="signature1"/>
    <w:basedOn w:val="DefaultParagraphFont"/>
    <w:uiPriority w:val="99"/>
    <w:rsid w:val="00CC2780"/>
    <w:rPr>
      <w:rFonts w:ascii="Arial" w:hAnsi="Arial" w:cs="Arial"/>
      <w:b/>
      <w:bCs/>
      <w:sz w:val="21"/>
      <w:szCs w:val="21"/>
    </w:rPr>
  </w:style>
  <w:style w:type="character" w:styleId="Strong">
    <w:name w:val="Strong"/>
    <w:basedOn w:val="DefaultParagraphFont"/>
    <w:uiPriority w:val="99"/>
    <w:qFormat/>
    <w:rsid w:val="00CC2780"/>
    <w:rPr>
      <w:rFonts w:cs="Times New Roman"/>
      <w:b/>
      <w:bCs/>
    </w:rPr>
  </w:style>
  <w:style w:type="paragraph" w:customStyle="1" w:styleId="msotitle2">
    <w:name w:val="msotitle2"/>
    <w:uiPriority w:val="99"/>
    <w:rsid w:val="001E0A47"/>
    <w:pPr>
      <w:spacing w:after="0" w:line="240" w:lineRule="auto"/>
      <w:jc w:val="center"/>
    </w:pPr>
    <w:rPr>
      <w:rFonts w:ascii="Gill Sans MT" w:hAnsi="Gill Sans MT" w:cs="Gill Sans MT"/>
      <w:color w:val="000000"/>
      <w:kern w:val="28"/>
      <w:sz w:val="64"/>
      <w:szCs w:val="64"/>
      <w:lang w:val="en-GB" w:eastAsia="en-GB"/>
    </w:rPr>
  </w:style>
  <w:style w:type="paragraph" w:customStyle="1" w:styleId="msoaccenttext3">
    <w:name w:val="msoaccenttext3"/>
    <w:uiPriority w:val="99"/>
    <w:rsid w:val="001E0A47"/>
    <w:pPr>
      <w:spacing w:after="0" w:line="240" w:lineRule="auto"/>
      <w:jc w:val="center"/>
    </w:pPr>
    <w:rPr>
      <w:rFonts w:ascii="Gill Sans MT" w:hAnsi="Gill Sans MT" w:cs="Gill Sans MT"/>
      <w:b/>
      <w:bCs/>
      <w:color w:val="000000"/>
      <w:kern w:val="28"/>
      <w:lang w:val="en-GB" w:eastAsia="en-GB"/>
    </w:rPr>
  </w:style>
  <w:style w:type="paragraph" w:customStyle="1" w:styleId="msoaccenttext6">
    <w:name w:val="msoaccenttext6"/>
    <w:uiPriority w:val="99"/>
    <w:rsid w:val="001E0A47"/>
    <w:pPr>
      <w:spacing w:after="0" w:line="240" w:lineRule="auto"/>
      <w:jc w:val="center"/>
    </w:pPr>
    <w:rPr>
      <w:rFonts w:ascii="Gill Sans MT" w:hAnsi="Gill Sans MT" w:cs="Gill Sans MT"/>
      <w:b/>
      <w:bCs/>
      <w:color w:val="000000"/>
      <w:kern w:val="28"/>
      <w:sz w:val="48"/>
      <w:szCs w:val="48"/>
      <w:lang w:val="en-GB" w:eastAsia="en-GB"/>
    </w:rPr>
  </w:style>
  <w:style w:type="paragraph" w:customStyle="1" w:styleId="msoorganizationname2">
    <w:name w:val="msoorganizationname2"/>
    <w:uiPriority w:val="99"/>
    <w:rsid w:val="001E0A47"/>
    <w:pPr>
      <w:spacing w:after="0" w:line="240" w:lineRule="auto"/>
    </w:pPr>
    <w:rPr>
      <w:rFonts w:ascii="Gill Sans MT" w:hAnsi="Gill Sans MT" w:cs="Gill Sans MT"/>
      <w:b/>
      <w:bCs/>
      <w:color w:val="000000"/>
      <w:kern w:val="28"/>
      <w:sz w:val="19"/>
      <w:szCs w:val="19"/>
      <w:lang w:val="en-GB" w:eastAsia="en-GB"/>
    </w:rPr>
  </w:style>
  <w:style w:type="paragraph" w:customStyle="1" w:styleId="msoaddress">
    <w:name w:val="msoaddress"/>
    <w:uiPriority w:val="99"/>
    <w:rsid w:val="001E0A47"/>
    <w:pPr>
      <w:spacing w:after="0" w:line="240" w:lineRule="auto"/>
    </w:pPr>
    <w:rPr>
      <w:rFonts w:ascii="Gill Sans MT" w:hAnsi="Gill Sans MT" w:cs="Gill Sans MT"/>
      <w:color w:val="000000"/>
      <w:kern w:val="28"/>
      <w:sz w:val="16"/>
      <w:szCs w:val="16"/>
      <w:lang w:val="en-GB" w:eastAsia="en-GB"/>
    </w:rPr>
  </w:style>
  <w:style w:type="paragraph" w:styleId="BalloonText">
    <w:name w:val="Balloon Text"/>
    <w:basedOn w:val="Normal"/>
    <w:link w:val="BalloonTextChar"/>
    <w:uiPriority w:val="99"/>
    <w:semiHidden/>
    <w:rsid w:val="00164B0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paragraph" w:styleId="Caption">
    <w:name w:val="caption"/>
    <w:basedOn w:val="Normal"/>
    <w:next w:val="Normal"/>
    <w:uiPriority w:val="99"/>
    <w:qFormat/>
    <w:rsid w:val="00E43EAA"/>
    <w:pPr>
      <w:widowControl w:val="0"/>
      <w:autoSpaceDE w:val="0"/>
      <w:autoSpaceDN w:val="0"/>
      <w:adjustRightInd w:val="0"/>
      <w:spacing w:line="480" w:lineRule="auto"/>
    </w:pPr>
    <w:rPr>
      <w:b/>
      <w:bCs/>
      <w:sz w:val="28"/>
      <w:szCs w:val="28"/>
      <w:lang w:val="en-US"/>
    </w:rPr>
  </w:style>
  <w:style w:type="paragraph" w:styleId="FootnoteText">
    <w:name w:val="footnote text"/>
    <w:basedOn w:val="Normal"/>
    <w:link w:val="FootnoteTextChar"/>
    <w:uiPriority w:val="99"/>
    <w:semiHidden/>
    <w:rsid w:val="00E43EAA"/>
    <w:pPr>
      <w:widowControl w:val="0"/>
      <w:autoSpaceDE w:val="0"/>
      <w:autoSpaceDN w:val="0"/>
      <w:adjustRightInd w:val="0"/>
      <w:jc w:val="left"/>
    </w:pPr>
    <w:rPr>
      <w:sz w:val="20"/>
      <w:szCs w:val="20"/>
      <w:lang w:val="en-US"/>
    </w:rPr>
  </w:style>
  <w:style w:type="character" w:customStyle="1" w:styleId="FootnoteTextChar">
    <w:name w:val="Footnote Text Char"/>
    <w:basedOn w:val="DefaultParagraphFont"/>
    <w:link w:val="FootnoteText"/>
    <w:uiPriority w:val="99"/>
    <w:semiHidden/>
    <w:locked/>
    <w:rPr>
      <w:rFonts w:ascii="Arial" w:hAnsi="Arial" w:cs="Arial"/>
      <w:sz w:val="20"/>
      <w:szCs w:val="20"/>
      <w:lang w:val="en-GB" w:eastAsia="en-GB"/>
    </w:rPr>
  </w:style>
  <w:style w:type="paragraph" w:styleId="BodyTextIndent">
    <w:name w:val="Body Text Indent"/>
    <w:basedOn w:val="Normal"/>
    <w:link w:val="BodyTextIndentChar"/>
    <w:uiPriority w:val="99"/>
    <w:rsid w:val="00E43EAA"/>
    <w:pPr>
      <w:widowControl w:val="0"/>
      <w:autoSpaceDE w:val="0"/>
      <w:autoSpaceDN w:val="0"/>
      <w:adjustRightInd w:val="0"/>
      <w:ind w:left="720"/>
      <w:jc w:val="left"/>
    </w:pPr>
    <w:rPr>
      <w:lang w:val="en-US"/>
    </w:rPr>
  </w:style>
  <w:style w:type="character" w:customStyle="1" w:styleId="BodyTextIndentChar">
    <w:name w:val="Body Text Indent Char"/>
    <w:basedOn w:val="DefaultParagraphFont"/>
    <w:link w:val="BodyTextIndent"/>
    <w:uiPriority w:val="99"/>
    <w:semiHidden/>
    <w:locked/>
    <w:rPr>
      <w:rFonts w:ascii="Arial" w:hAnsi="Arial" w:cs="Arial"/>
      <w:sz w:val="24"/>
      <w:szCs w:val="24"/>
      <w:lang w:val="en-GB" w:eastAsia="en-GB"/>
    </w:rPr>
  </w:style>
  <w:style w:type="paragraph" w:styleId="BodyTextIndent2">
    <w:name w:val="Body Text Indent 2"/>
    <w:basedOn w:val="Normal"/>
    <w:link w:val="BodyTextIndent2Char"/>
    <w:uiPriority w:val="99"/>
    <w:rsid w:val="00E43EAA"/>
    <w:pPr>
      <w:widowControl w:val="0"/>
      <w:autoSpaceDE w:val="0"/>
      <w:autoSpaceDN w:val="0"/>
      <w:adjustRightInd w:val="0"/>
      <w:spacing w:line="360" w:lineRule="auto"/>
      <w:ind w:left="720" w:firstLine="720"/>
      <w:jc w:val="left"/>
    </w:pPr>
    <w:rPr>
      <w:lang w:val="en-US"/>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val="en-GB" w:eastAsia="en-GB"/>
    </w:rPr>
  </w:style>
  <w:style w:type="character" w:styleId="FootnoteReference">
    <w:name w:val="footnote reference"/>
    <w:basedOn w:val="DefaultParagraphFont"/>
    <w:uiPriority w:val="99"/>
    <w:semiHidden/>
    <w:rsid w:val="00E43EAA"/>
    <w:rPr>
      <w:rFonts w:cs="Times New Roman"/>
      <w:vertAlign w:val="superscript"/>
    </w:rPr>
  </w:style>
  <w:style w:type="paragraph" w:customStyle="1" w:styleId="Pa3">
    <w:name w:val="Pa3"/>
    <w:basedOn w:val="Normal"/>
    <w:next w:val="Normal"/>
    <w:uiPriority w:val="99"/>
    <w:rsid w:val="006C4A36"/>
    <w:pPr>
      <w:autoSpaceDE w:val="0"/>
      <w:autoSpaceDN w:val="0"/>
      <w:adjustRightInd w:val="0"/>
      <w:spacing w:line="241" w:lineRule="atLeast"/>
      <w:jc w:val="left"/>
    </w:pPr>
    <w:rPr>
      <w:lang w:val="en-US" w:eastAsia="en-US"/>
    </w:rPr>
  </w:style>
  <w:style w:type="character" w:customStyle="1" w:styleId="A0">
    <w:name w:val="A0"/>
    <w:uiPriority w:val="99"/>
    <w:rsid w:val="006C4A36"/>
    <w:rPr>
      <w:b/>
      <w:color w:val="221E1F"/>
      <w:sz w:val="20"/>
    </w:rPr>
  </w:style>
  <w:style w:type="paragraph" w:styleId="Footer">
    <w:name w:val="footer"/>
    <w:basedOn w:val="Normal"/>
    <w:link w:val="FooterChar"/>
    <w:uiPriority w:val="99"/>
    <w:rsid w:val="00C24314"/>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GB" w:eastAsia="en-GB"/>
    </w:rPr>
  </w:style>
  <w:style w:type="paragraph" w:styleId="ListParagraph">
    <w:name w:val="List Paragraph"/>
    <w:basedOn w:val="Normal"/>
    <w:uiPriority w:val="34"/>
    <w:qFormat/>
    <w:rsid w:val="00D90A21"/>
    <w:pPr>
      <w:ind w:left="720"/>
      <w:contextualSpacing/>
      <w:jc w:val="left"/>
    </w:pPr>
    <w:rPr>
      <w:rFonts w:asciiTheme="minorHAnsi" w:eastAsiaTheme="minorEastAsia" w:hAnsiTheme="minorHAnsi" w:cstheme="minorBidi"/>
      <w:lang w:val="en-ZA" w:eastAsia="en-US"/>
    </w:rPr>
  </w:style>
  <w:style w:type="character" w:styleId="SubtleEmphasis">
    <w:name w:val="Subtle Emphasis"/>
    <w:basedOn w:val="DefaultParagraphFont"/>
    <w:uiPriority w:val="19"/>
    <w:qFormat/>
    <w:rsid w:val="00E14D0F"/>
    <w:rPr>
      <w:i/>
      <w:iCs/>
      <w:color w:val="404040" w:themeColor="text1" w:themeTint="BF"/>
    </w:rPr>
  </w:style>
  <w:style w:type="character" w:styleId="CommentReference">
    <w:name w:val="annotation reference"/>
    <w:basedOn w:val="DefaultParagraphFont"/>
    <w:uiPriority w:val="99"/>
    <w:semiHidden/>
    <w:unhideWhenUsed/>
    <w:rsid w:val="003532CA"/>
    <w:rPr>
      <w:sz w:val="16"/>
      <w:szCs w:val="16"/>
    </w:rPr>
  </w:style>
  <w:style w:type="paragraph" w:styleId="CommentText">
    <w:name w:val="annotation text"/>
    <w:basedOn w:val="Normal"/>
    <w:link w:val="CommentTextChar"/>
    <w:uiPriority w:val="99"/>
    <w:semiHidden/>
    <w:unhideWhenUsed/>
    <w:rsid w:val="003532CA"/>
    <w:rPr>
      <w:sz w:val="20"/>
      <w:szCs w:val="20"/>
    </w:rPr>
  </w:style>
  <w:style w:type="character" w:customStyle="1" w:styleId="CommentTextChar">
    <w:name w:val="Comment Text Char"/>
    <w:basedOn w:val="DefaultParagraphFont"/>
    <w:link w:val="CommentText"/>
    <w:uiPriority w:val="99"/>
    <w:semiHidden/>
    <w:rsid w:val="003532CA"/>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3532CA"/>
    <w:rPr>
      <w:b/>
      <w:bCs/>
    </w:rPr>
  </w:style>
  <w:style w:type="character" w:customStyle="1" w:styleId="CommentSubjectChar">
    <w:name w:val="Comment Subject Char"/>
    <w:basedOn w:val="CommentTextChar"/>
    <w:link w:val="CommentSubject"/>
    <w:uiPriority w:val="99"/>
    <w:semiHidden/>
    <w:rsid w:val="003532CA"/>
    <w:rPr>
      <w:rFonts w:ascii="Arial" w:hAnsi="Arial" w:cs="Arial"/>
      <w:b/>
      <w:bCs/>
      <w:sz w:val="20"/>
      <w:szCs w:val="20"/>
      <w:lang w:val="en-GB" w:eastAsia="en-GB"/>
    </w:rPr>
  </w:style>
  <w:style w:type="paragraph" w:styleId="TOCHeading">
    <w:name w:val="TOC Heading"/>
    <w:basedOn w:val="Heading1"/>
    <w:next w:val="Normal"/>
    <w:uiPriority w:val="39"/>
    <w:unhideWhenUsed/>
    <w:qFormat/>
    <w:rsid w:val="00554FCC"/>
    <w:pPr>
      <w:keepNext/>
      <w:keepLines/>
      <w:spacing w:before="240" w:line="259" w:lineRule="auto"/>
      <w:ind w:left="0" w:firstLine="0"/>
      <w:jc w:val="left"/>
      <w:outlineLvl w:val="9"/>
    </w:pPr>
    <w:rPr>
      <w:rFonts w:asciiTheme="majorHAnsi" w:eastAsiaTheme="majorEastAsia" w:hAnsiTheme="majorHAnsi" w:cstheme="majorBidi"/>
      <w:i w:val="0"/>
      <w:iCs w:val="0"/>
      <w:color w:val="365F91" w:themeColor="accent1" w:themeShade="BF"/>
      <w:kern w:val="0"/>
      <w:lang w:eastAsia="en-US"/>
    </w:rPr>
  </w:style>
  <w:style w:type="character" w:customStyle="1" w:styleId="UnresolvedMention">
    <w:name w:val="Unresolved Mention"/>
    <w:basedOn w:val="DefaultParagraphFont"/>
    <w:uiPriority w:val="99"/>
    <w:semiHidden/>
    <w:unhideWhenUsed/>
    <w:rsid w:val="006D0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059973">
      <w:bodyDiv w:val="1"/>
      <w:marLeft w:val="0"/>
      <w:marRight w:val="0"/>
      <w:marTop w:val="0"/>
      <w:marBottom w:val="0"/>
      <w:divBdr>
        <w:top w:val="none" w:sz="0" w:space="0" w:color="auto"/>
        <w:left w:val="none" w:sz="0" w:space="0" w:color="auto"/>
        <w:bottom w:val="none" w:sz="0" w:space="0" w:color="auto"/>
        <w:right w:val="none" w:sz="0" w:space="0" w:color="auto"/>
      </w:divBdr>
    </w:div>
    <w:div w:id="1322394336">
      <w:marLeft w:val="0"/>
      <w:marRight w:val="0"/>
      <w:marTop w:val="0"/>
      <w:marBottom w:val="0"/>
      <w:divBdr>
        <w:top w:val="none" w:sz="0" w:space="0" w:color="auto"/>
        <w:left w:val="none" w:sz="0" w:space="0" w:color="auto"/>
        <w:bottom w:val="none" w:sz="0" w:space="0" w:color="auto"/>
        <w:right w:val="none" w:sz="0" w:space="0" w:color="auto"/>
      </w:divBdr>
    </w:div>
    <w:div w:id="1322394338">
      <w:marLeft w:val="0"/>
      <w:marRight w:val="0"/>
      <w:marTop w:val="0"/>
      <w:marBottom w:val="0"/>
      <w:divBdr>
        <w:top w:val="none" w:sz="0" w:space="0" w:color="auto"/>
        <w:left w:val="none" w:sz="0" w:space="0" w:color="auto"/>
        <w:bottom w:val="none" w:sz="0" w:space="0" w:color="auto"/>
        <w:right w:val="none" w:sz="0" w:space="0" w:color="auto"/>
      </w:divBdr>
      <w:divsChild>
        <w:div w:id="1322394393">
          <w:marLeft w:val="0"/>
          <w:marRight w:val="0"/>
          <w:marTop w:val="0"/>
          <w:marBottom w:val="0"/>
          <w:divBdr>
            <w:top w:val="none" w:sz="0" w:space="0" w:color="auto"/>
            <w:left w:val="none" w:sz="0" w:space="0" w:color="auto"/>
            <w:bottom w:val="none" w:sz="0" w:space="0" w:color="auto"/>
            <w:right w:val="none" w:sz="0" w:space="0" w:color="auto"/>
          </w:divBdr>
        </w:div>
      </w:divsChild>
    </w:div>
    <w:div w:id="1322394352">
      <w:marLeft w:val="0"/>
      <w:marRight w:val="0"/>
      <w:marTop w:val="0"/>
      <w:marBottom w:val="0"/>
      <w:divBdr>
        <w:top w:val="none" w:sz="0" w:space="0" w:color="auto"/>
        <w:left w:val="none" w:sz="0" w:space="0" w:color="auto"/>
        <w:bottom w:val="none" w:sz="0" w:space="0" w:color="auto"/>
        <w:right w:val="none" w:sz="0" w:space="0" w:color="auto"/>
      </w:divBdr>
      <w:divsChild>
        <w:div w:id="1322394355">
          <w:marLeft w:val="2928"/>
          <w:marRight w:val="0"/>
          <w:marTop w:val="720"/>
          <w:marBottom w:val="0"/>
          <w:divBdr>
            <w:top w:val="none" w:sz="0" w:space="0" w:color="auto"/>
            <w:left w:val="none" w:sz="0" w:space="0" w:color="auto"/>
            <w:bottom w:val="none" w:sz="0" w:space="0" w:color="auto"/>
            <w:right w:val="none" w:sz="0" w:space="0" w:color="auto"/>
          </w:divBdr>
          <w:divsChild>
            <w:div w:id="1322394364">
              <w:marLeft w:val="2928"/>
              <w:marRight w:val="0"/>
              <w:marTop w:val="720"/>
              <w:marBottom w:val="0"/>
              <w:divBdr>
                <w:top w:val="none" w:sz="0" w:space="0" w:color="auto"/>
                <w:left w:val="none" w:sz="0" w:space="0" w:color="auto"/>
                <w:bottom w:val="none" w:sz="0" w:space="0" w:color="auto"/>
                <w:right w:val="none" w:sz="0" w:space="0" w:color="auto"/>
              </w:divBdr>
              <w:divsChild>
                <w:div w:id="1322394339">
                  <w:marLeft w:val="2928"/>
                  <w:marRight w:val="0"/>
                  <w:marTop w:val="720"/>
                  <w:marBottom w:val="0"/>
                  <w:divBdr>
                    <w:top w:val="none" w:sz="0" w:space="0" w:color="auto"/>
                    <w:left w:val="none" w:sz="0" w:space="0" w:color="auto"/>
                    <w:bottom w:val="none" w:sz="0" w:space="0" w:color="auto"/>
                    <w:right w:val="none" w:sz="0" w:space="0" w:color="auto"/>
                  </w:divBdr>
                </w:div>
                <w:div w:id="1322394350">
                  <w:marLeft w:val="0"/>
                  <w:marRight w:val="0"/>
                  <w:marTop w:val="0"/>
                  <w:marBottom w:val="0"/>
                  <w:divBdr>
                    <w:top w:val="none" w:sz="0" w:space="0" w:color="auto"/>
                    <w:left w:val="none" w:sz="0" w:space="0" w:color="auto"/>
                    <w:bottom w:val="none" w:sz="0" w:space="0" w:color="auto"/>
                    <w:right w:val="none" w:sz="0" w:space="0" w:color="auto"/>
                  </w:divBdr>
                  <w:divsChild>
                    <w:div w:id="1322394403">
                      <w:marLeft w:val="0"/>
                      <w:marRight w:val="0"/>
                      <w:marTop w:val="0"/>
                      <w:marBottom w:val="0"/>
                      <w:divBdr>
                        <w:top w:val="none" w:sz="0" w:space="0" w:color="auto"/>
                        <w:left w:val="none" w:sz="0" w:space="0" w:color="auto"/>
                        <w:bottom w:val="none" w:sz="0" w:space="0" w:color="auto"/>
                        <w:right w:val="none" w:sz="0" w:space="0" w:color="auto"/>
                      </w:divBdr>
                      <w:divsChild>
                        <w:div w:id="1322394474">
                          <w:marLeft w:val="0"/>
                          <w:marRight w:val="0"/>
                          <w:marTop w:val="0"/>
                          <w:marBottom w:val="0"/>
                          <w:divBdr>
                            <w:top w:val="none" w:sz="0" w:space="0" w:color="auto"/>
                            <w:left w:val="none" w:sz="0" w:space="0" w:color="auto"/>
                            <w:bottom w:val="none" w:sz="0" w:space="0" w:color="auto"/>
                            <w:right w:val="none" w:sz="0" w:space="0" w:color="auto"/>
                          </w:divBdr>
                          <w:divsChild>
                            <w:div w:id="1322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51">
                  <w:marLeft w:val="0"/>
                  <w:marRight w:val="0"/>
                  <w:marTop w:val="0"/>
                  <w:marBottom w:val="0"/>
                  <w:divBdr>
                    <w:top w:val="none" w:sz="0" w:space="0" w:color="auto"/>
                    <w:left w:val="none" w:sz="0" w:space="0" w:color="auto"/>
                    <w:bottom w:val="none" w:sz="0" w:space="0" w:color="auto"/>
                    <w:right w:val="none" w:sz="0" w:space="0" w:color="auto"/>
                  </w:divBdr>
                </w:div>
                <w:div w:id="1322394374">
                  <w:marLeft w:val="0"/>
                  <w:marRight w:val="0"/>
                  <w:marTop w:val="0"/>
                  <w:marBottom w:val="0"/>
                  <w:divBdr>
                    <w:top w:val="none" w:sz="0" w:space="0" w:color="auto"/>
                    <w:left w:val="none" w:sz="0" w:space="0" w:color="auto"/>
                    <w:bottom w:val="none" w:sz="0" w:space="0" w:color="auto"/>
                    <w:right w:val="none" w:sz="0" w:space="0" w:color="auto"/>
                  </w:divBdr>
                  <w:divsChild>
                    <w:div w:id="1322394472">
                      <w:marLeft w:val="0"/>
                      <w:marRight w:val="0"/>
                      <w:marTop w:val="0"/>
                      <w:marBottom w:val="0"/>
                      <w:divBdr>
                        <w:top w:val="none" w:sz="0" w:space="0" w:color="auto"/>
                        <w:left w:val="none" w:sz="0" w:space="0" w:color="auto"/>
                        <w:bottom w:val="none" w:sz="0" w:space="0" w:color="auto"/>
                        <w:right w:val="none" w:sz="0" w:space="0" w:color="auto"/>
                      </w:divBdr>
                      <w:divsChild>
                        <w:div w:id="1322394412">
                          <w:marLeft w:val="0"/>
                          <w:marRight w:val="0"/>
                          <w:marTop w:val="0"/>
                          <w:marBottom w:val="0"/>
                          <w:divBdr>
                            <w:top w:val="none" w:sz="0" w:space="0" w:color="auto"/>
                            <w:left w:val="none" w:sz="0" w:space="0" w:color="auto"/>
                            <w:bottom w:val="none" w:sz="0" w:space="0" w:color="auto"/>
                            <w:right w:val="none" w:sz="0" w:space="0" w:color="auto"/>
                          </w:divBdr>
                          <w:divsChild>
                            <w:div w:id="13223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52">
                  <w:marLeft w:val="0"/>
                  <w:marRight w:val="0"/>
                  <w:marTop w:val="0"/>
                  <w:marBottom w:val="0"/>
                  <w:divBdr>
                    <w:top w:val="none" w:sz="0" w:space="0" w:color="auto"/>
                    <w:left w:val="none" w:sz="0" w:space="0" w:color="auto"/>
                    <w:bottom w:val="none" w:sz="0" w:space="0" w:color="auto"/>
                    <w:right w:val="none" w:sz="0" w:space="0" w:color="auto"/>
                  </w:divBdr>
                  <w:divsChild>
                    <w:div w:id="1322394406">
                      <w:marLeft w:val="0"/>
                      <w:marRight w:val="0"/>
                      <w:marTop w:val="0"/>
                      <w:marBottom w:val="0"/>
                      <w:divBdr>
                        <w:top w:val="none" w:sz="0" w:space="0" w:color="auto"/>
                        <w:left w:val="none" w:sz="0" w:space="0" w:color="auto"/>
                        <w:bottom w:val="none" w:sz="0" w:space="0" w:color="auto"/>
                        <w:right w:val="none" w:sz="0" w:space="0" w:color="auto"/>
                      </w:divBdr>
                      <w:divsChild>
                        <w:div w:id="13223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58">
                  <w:marLeft w:val="2928"/>
                  <w:marRight w:val="0"/>
                  <w:marTop w:val="720"/>
                  <w:marBottom w:val="0"/>
                  <w:divBdr>
                    <w:top w:val="none" w:sz="0" w:space="0" w:color="auto"/>
                    <w:left w:val="none" w:sz="0" w:space="0" w:color="auto"/>
                    <w:bottom w:val="none" w:sz="0" w:space="0" w:color="auto"/>
                    <w:right w:val="none" w:sz="0" w:space="0" w:color="auto"/>
                  </w:divBdr>
                </w:div>
                <w:div w:id="1322394469">
                  <w:marLeft w:val="0"/>
                  <w:marRight w:val="0"/>
                  <w:marTop w:val="0"/>
                  <w:marBottom w:val="0"/>
                  <w:divBdr>
                    <w:top w:val="none" w:sz="0" w:space="0" w:color="auto"/>
                    <w:left w:val="none" w:sz="0" w:space="0" w:color="auto"/>
                    <w:bottom w:val="none" w:sz="0" w:space="0" w:color="auto"/>
                    <w:right w:val="none" w:sz="0" w:space="0" w:color="auto"/>
                  </w:divBdr>
                </w:div>
                <w:div w:id="1322394470">
                  <w:marLeft w:val="2928"/>
                  <w:marRight w:val="0"/>
                  <w:marTop w:val="720"/>
                  <w:marBottom w:val="0"/>
                  <w:divBdr>
                    <w:top w:val="none" w:sz="0" w:space="0" w:color="auto"/>
                    <w:left w:val="none" w:sz="0" w:space="0" w:color="auto"/>
                    <w:bottom w:val="none" w:sz="0" w:space="0" w:color="auto"/>
                    <w:right w:val="none" w:sz="0" w:space="0" w:color="auto"/>
                  </w:divBdr>
                </w:div>
                <w:div w:id="1322394473">
                  <w:marLeft w:val="0"/>
                  <w:marRight w:val="0"/>
                  <w:marTop w:val="0"/>
                  <w:marBottom w:val="0"/>
                  <w:divBdr>
                    <w:top w:val="none" w:sz="0" w:space="0" w:color="auto"/>
                    <w:left w:val="none" w:sz="0" w:space="0" w:color="auto"/>
                    <w:bottom w:val="none" w:sz="0" w:space="0" w:color="auto"/>
                    <w:right w:val="none" w:sz="0" w:space="0" w:color="auto"/>
                  </w:divBdr>
                  <w:divsChild>
                    <w:div w:id="1322394486">
                      <w:marLeft w:val="0"/>
                      <w:marRight w:val="0"/>
                      <w:marTop w:val="0"/>
                      <w:marBottom w:val="0"/>
                      <w:divBdr>
                        <w:top w:val="none" w:sz="0" w:space="0" w:color="auto"/>
                        <w:left w:val="none" w:sz="0" w:space="0" w:color="auto"/>
                        <w:bottom w:val="none" w:sz="0" w:space="0" w:color="auto"/>
                        <w:right w:val="none" w:sz="0" w:space="0" w:color="auto"/>
                      </w:divBdr>
                      <w:divsChild>
                        <w:div w:id="1322394453">
                          <w:marLeft w:val="0"/>
                          <w:marRight w:val="0"/>
                          <w:marTop w:val="0"/>
                          <w:marBottom w:val="0"/>
                          <w:divBdr>
                            <w:top w:val="none" w:sz="0" w:space="0" w:color="auto"/>
                            <w:left w:val="none" w:sz="0" w:space="0" w:color="auto"/>
                            <w:bottom w:val="none" w:sz="0" w:space="0" w:color="auto"/>
                            <w:right w:val="none" w:sz="0" w:space="0" w:color="auto"/>
                          </w:divBdr>
                          <w:divsChild>
                            <w:div w:id="13223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85">
                  <w:marLeft w:val="0"/>
                  <w:marRight w:val="0"/>
                  <w:marTop w:val="0"/>
                  <w:marBottom w:val="0"/>
                  <w:divBdr>
                    <w:top w:val="none" w:sz="0" w:space="0" w:color="auto"/>
                    <w:left w:val="none" w:sz="0" w:space="0" w:color="auto"/>
                    <w:bottom w:val="none" w:sz="0" w:space="0" w:color="auto"/>
                    <w:right w:val="none" w:sz="0" w:space="0" w:color="auto"/>
                  </w:divBdr>
                  <w:divsChild>
                    <w:div w:id="1322394477">
                      <w:marLeft w:val="0"/>
                      <w:marRight w:val="0"/>
                      <w:marTop w:val="0"/>
                      <w:marBottom w:val="0"/>
                      <w:divBdr>
                        <w:top w:val="none" w:sz="0" w:space="0" w:color="auto"/>
                        <w:left w:val="none" w:sz="0" w:space="0" w:color="auto"/>
                        <w:bottom w:val="none" w:sz="0" w:space="0" w:color="auto"/>
                        <w:right w:val="none" w:sz="0" w:space="0" w:color="auto"/>
                      </w:divBdr>
                      <w:divsChild>
                        <w:div w:id="1322394392">
                          <w:marLeft w:val="0"/>
                          <w:marRight w:val="0"/>
                          <w:marTop w:val="0"/>
                          <w:marBottom w:val="0"/>
                          <w:divBdr>
                            <w:top w:val="none" w:sz="0" w:space="0" w:color="auto"/>
                            <w:left w:val="none" w:sz="0" w:space="0" w:color="auto"/>
                            <w:bottom w:val="none" w:sz="0" w:space="0" w:color="auto"/>
                            <w:right w:val="none" w:sz="0" w:space="0" w:color="auto"/>
                          </w:divBdr>
                          <w:divsChild>
                            <w:div w:id="13223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94465">
              <w:marLeft w:val="2928"/>
              <w:marRight w:val="0"/>
              <w:marTop w:val="720"/>
              <w:marBottom w:val="0"/>
              <w:divBdr>
                <w:top w:val="none" w:sz="0" w:space="0" w:color="auto"/>
                <w:left w:val="none" w:sz="0" w:space="0" w:color="auto"/>
                <w:bottom w:val="none" w:sz="0" w:space="0" w:color="auto"/>
                <w:right w:val="none" w:sz="0" w:space="0" w:color="auto"/>
              </w:divBdr>
              <w:divsChild>
                <w:div w:id="132239448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322394365">
      <w:marLeft w:val="0"/>
      <w:marRight w:val="0"/>
      <w:marTop w:val="0"/>
      <w:marBottom w:val="0"/>
      <w:divBdr>
        <w:top w:val="none" w:sz="0" w:space="0" w:color="auto"/>
        <w:left w:val="none" w:sz="0" w:space="0" w:color="auto"/>
        <w:bottom w:val="none" w:sz="0" w:space="0" w:color="auto"/>
        <w:right w:val="none" w:sz="0" w:space="0" w:color="auto"/>
      </w:divBdr>
      <w:divsChild>
        <w:div w:id="1322394420">
          <w:marLeft w:val="0"/>
          <w:marRight w:val="0"/>
          <w:marTop w:val="0"/>
          <w:marBottom w:val="0"/>
          <w:divBdr>
            <w:top w:val="none" w:sz="0" w:space="0" w:color="auto"/>
            <w:left w:val="none" w:sz="0" w:space="0" w:color="auto"/>
            <w:bottom w:val="none" w:sz="0" w:space="0" w:color="auto"/>
            <w:right w:val="none" w:sz="0" w:space="0" w:color="auto"/>
          </w:divBdr>
        </w:div>
      </w:divsChild>
    </w:div>
    <w:div w:id="1322394370">
      <w:marLeft w:val="0"/>
      <w:marRight w:val="0"/>
      <w:marTop w:val="0"/>
      <w:marBottom w:val="0"/>
      <w:divBdr>
        <w:top w:val="none" w:sz="0" w:space="0" w:color="auto"/>
        <w:left w:val="none" w:sz="0" w:space="0" w:color="auto"/>
        <w:bottom w:val="none" w:sz="0" w:space="0" w:color="auto"/>
        <w:right w:val="none" w:sz="0" w:space="0" w:color="auto"/>
      </w:divBdr>
    </w:div>
    <w:div w:id="1322394395">
      <w:marLeft w:val="0"/>
      <w:marRight w:val="0"/>
      <w:marTop w:val="0"/>
      <w:marBottom w:val="0"/>
      <w:divBdr>
        <w:top w:val="none" w:sz="0" w:space="0" w:color="auto"/>
        <w:left w:val="none" w:sz="0" w:space="0" w:color="auto"/>
        <w:bottom w:val="none" w:sz="0" w:space="0" w:color="auto"/>
        <w:right w:val="none" w:sz="0" w:space="0" w:color="auto"/>
      </w:divBdr>
      <w:divsChild>
        <w:div w:id="1322394450">
          <w:marLeft w:val="0"/>
          <w:marRight w:val="0"/>
          <w:marTop w:val="0"/>
          <w:marBottom w:val="0"/>
          <w:divBdr>
            <w:top w:val="none" w:sz="0" w:space="0" w:color="auto"/>
            <w:left w:val="none" w:sz="0" w:space="0" w:color="auto"/>
            <w:bottom w:val="none" w:sz="0" w:space="0" w:color="auto"/>
            <w:right w:val="none" w:sz="0" w:space="0" w:color="auto"/>
          </w:divBdr>
        </w:div>
        <w:div w:id="1322394481">
          <w:marLeft w:val="0"/>
          <w:marRight w:val="0"/>
          <w:marTop w:val="0"/>
          <w:marBottom w:val="0"/>
          <w:divBdr>
            <w:top w:val="none" w:sz="0" w:space="0" w:color="auto"/>
            <w:left w:val="none" w:sz="0" w:space="0" w:color="auto"/>
            <w:bottom w:val="none" w:sz="0" w:space="0" w:color="auto"/>
            <w:right w:val="none" w:sz="0" w:space="0" w:color="auto"/>
          </w:divBdr>
        </w:div>
      </w:divsChild>
    </w:div>
    <w:div w:id="1322394401">
      <w:marLeft w:val="0"/>
      <w:marRight w:val="0"/>
      <w:marTop w:val="2250"/>
      <w:marBottom w:val="0"/>
      <w:divBdr>
        <w:top w:val="none" w:sz="0" w:space="0" w:color="auto"/>
        <w:left w:val="none" w:sz="0" w:space="0" w:color="auto"/>
        <w:bottom w:val="none" w:sz="0" w:space="0" w:color="auto"/>
        <w:right w:val="none" w:sz="0" w:space="0" w:color="auto"/>
      </w:divBdr>
      <w:divsChild>
        <w:div w:id="1322394344">
          <w:marLeft w:val="0"/>
          <w:marRight w:val="0"/>
          <w:marTop w:val="0"/>
          <w:marBottom w:val="0"/>
          <w:divBdr>
            <w:top w:val="none" w:sz="0" w:space="0" w:color="auto"/>
            <w:left w:val="none" w:sz="0" w:space="0" w:color="auto"/>
            <w:bottom w:val="none" w:sz="0" w:space="0" w:color="auto"/>
            <w:right w:val="none" w:sz="0" w:space="0" w:color="auto"/>
          </w:divBdr>
        </w:div>
        <w:div w:id="1322394349">
          <w:marLeft w:val="0"/>
          <w:marRight w:val="0"/>
          <w:marTop w:val="0"/>
          <w:marBottom w:val="0"/>
          <w:divBdr>
            <w:top w:val="none" w:sz="0" w:space="0" w:color="auto"/>
            <w:left w:val="none" w:sz="0" w:space="0" w:color="auto"/>
            <w:bottom w:val="none" w:sz="0" w:space="0" w:color="auto"/>
            <w:right w:val="none" w:sz="0" w:space="0" w:color="auto"/>
          </w:divBdr>
        </w:div>
        <w:div w:id="1322394366">
          <w:marLeft w:val="0"/>
          <w:marRight w:val="0"/>
          <w:marTop w:val="0"/>
          <w:marBottom w:val="0"/>
          <w:divBdr>
            <w:top w:val="none" w:sz="0" w:space="0" w:color="auto"/>
            <w:left w:val="none" w:sz="0" w:space="0" w:color="auto"/>
            <w:bottom w:val="none" w:sz="0" w:space="0" w:color="auto"/>
            <w:right w:val="none" w:sz="0" w:space="0" w:color="auto"/>
          </w:divBdr>
        </w:div>
        <w:div w:id="1322394390">
          <w:marLeft w:val="0"/>
          <w:marRight w:val="0"/>
          <w:marTop w:val="0"/>
          <w:marBottom w:val="0"/>
          <w:divBdr>
            <w:top w:val="none" w:sz="0" w:space="0" w:color="auto"/>
            <w:left w:val="none" w:sz="0" w:space="0" w:color="auto"/>
            <w:bottom w:val="none" w:sz="0" w:space="0" w:color="auto"/>
            <w:right w:val="none" w:sz="0" w:space="0" w:color="auto"/>
          </w:divBdr>
        </w:div>
        <w:div w:id="1322394398">
          <w:marLeft w:val="0"/>
          <w:marRight w:val="0"/>
          <w:marTop w:val="0"/>
          <w:marBottom w:val="0"/>
          <w:divBdr>
            <w:top w:val="none" w:sz="0" w:space="0" w:color="auto"/>
            <w:left w:val="none" w:sz="0" w:space="0" w:color="auto"/>
            <w:bottom w:val="none" w:sz="0" w:space="0" w:color="auto"/>
            <w:right w:val="none" w:sz="0" w:space="0" w:color="auto"/>
          </w:divBdr>
        </w:div>
        <w:div w:id="1322394405">
          <w:marLeft w:val="0"/>
          <w:marRight w:val="0"/>
          <w:marTop w:val="0"/>
          <w:marBottom w:val="0"/>
          <w:divBdr>
            <w:top w:val="none" w:sz="0" w:space="0" w:color="auto"/>
            <w:left w:val="none" w:sz="0" w:space="0" w:color="auto"/>
            <w:bottom w:val="none" w:sz="0" w:space="0" w:color="auto"/>
            <w:right w:val="none" w:sz="0" w:space="0" w:color="auto"/>
          </w:divBdr>
        </w:div>
        <w:div w:id="1322394415">
          <w:marLeft w:val="0"/>
          <w:marRight w:val="0"/>
          <w:marTop w:val="0"/>
          <w:marBottom w:val="0"/>
          <w:divBdr>
            <w:top w:val="none" w:sz="0" w:space="0" w:color="auto"/>
            <w:left w:val="none" w:sz="0" w:space="0" w:color="auto"/>
            <w:bottom w:val="none" w:sz="0" w:space="0" w:color="auto"/>
            <w:right w:val="none" w:sz="0" w:space="0" w:color="auto"/>
          </w:divBdr>
        </w:div>
        <w:div w:id="1322394419">
          <w:marLeft w:val="0"/>
          <w:marRight w:val="0"/>
          <w:marTop w:val="0"/>
          <w:marBottom w:val="0"/>
          <w:divBdr>
            <w:top w:val="none" w:sz="0" w:space="0" w:color="auto"/>
            <w:left w:val="none" w:sz="0" w:space="0" w:color="auto"/>
            <w:bottom w:val="none" w:sz="0" w:space="0" w:color="auto"/>
            <w:right w:val="none" w:sz="0" w:space="0" w:color="auto"/>
          </w:divBdr>
        </w:div>
        <w:div w:id="1322394426">
          <w:marLeft w:val="0"/>
          <w:marRight w:val="0"/>
          <w:marTop w:val="0"/>
          <w:marBottom w:val="0"/>
          <w:divBdr>
            <w:top w:val="none" w:sz="0" w:space="0" w:color="auto"/>
            <w:left w:val="none" w:sz="0" w:space="0" w:color="auto"/>
            <w:bottom w:val="none" w:sz="0" w:space="0" w:color="auto"/>
            <w:right w:val="none" w:sz="0" w:space="0" w:color="auto"/>
          </w:divBdr>
        </w:div>
        <w:div w:id="1322394440">
          <w:marLeft w:val="0"/>
          <w:marRight w:val="0"/>
          <w:marTop w:val="0"/>
          <w:marBottom w:val="0"/>
          <w:divBdr>
            <w:top w:val="none" w:sz="0" w:space="0" w:color="auto"/>
            <w:left w:val="none" w:sz="0" w:space="0" w:color="auto"/>
            <w:bottom w:val="none" w:sz="0" w:space="0" w:color="auto"/>
            <w:right w:val="none" w:sz="0" w:space="0" w:color="auto"/>
          </w:divBdr>
        </w:div>
        <w:div w:id="1322394467">
          <w:marLeft w:val="0"/>
          <w:marRight w:val="0"/>
          <w:marTop w:val="0"/>
          <w:marBottom w:val="0"/>
          <w:divBdr>
            <w:top w:val="none" w:sz="0" w:space="0" w:color="auto"/>
            <w:left w:val="none" w:sz="0" w:space="0" w:color="auto"/>
            <w:bottom w:val="none" w:sz="0" w:space="0" w:color="auto"/>
            <w:right w:val="none" w:sz="0" w:space="0" w:color="auto"/>
          </w:divBdr>
        </w:div>
        <w:div w:id="1322394484">
          <w:marLeft w:val="0"/>
          <w:marRight w:val="0"/>
          <w:marTop w:val="0"/>
          <w:marBottom w:val="0"/>
          <w:divBdr>
            <w:top w:val="none" w:sz="0" w:space="0" w:color="auto"/>
            <w:left w:val="none" w:sz="0" w:space="0" w:color="auto"/>
            <w:bottom w:val="none" w:sz="0" w:space="0" w:color="auto"/>
            <w:right w:val="none" w:sz="0" w:space="0" w:color="auto"/>
          </w:divBdr>
        </w:div>
      </w:divsChild>
    </w:div>
    <w:div w:id="1322394407">
      <w:marLeft w:val="0"/>
      <w:marRight w:val="0"/>
      <w:marTop w:val="0"/>
      <w:marBottom w:val="0"/>
      <w:divBdr>
        <w:top w:val="none" w:sz="0" w:space="0" w:color="auto"/>
        <w:left w:val="none" w:sz="0" w:space="0" w:color="auto"/>
        <w:bottom w:val="none" w:sz="0" w:space="0" w:color="auto"/>
        <w:right w:val="none" w:sz="0" w:space="0" w:color="auto"/>
      </w:divBdr>
      <w:divsChild>
        <w:div w:id="1322394347">
          <w:marLeft w:val="75"/>
          <w:marRight w:val="0"/>
          <w:marTop w:val="100"/>
          <w:marBottom w:val="100"/>
          <w:divBdr>
            <w:top w:val="none" w:sz="0" w:space="0" w:color="auto"/>
            <w:left w:val="single" w:sz="12" w:space="4" w:color="000000"/>
            <w:bottom w:val="none" w:sz="0" w:space="0" w:color="auto"/>
            <w:right w:val="none" w:sz="0" w:space="0" w:color="auto"/>
          </w:divBdr>
          <w:divsChild>
            <w:div w:id="1322394375">
              <w:marLeft w:val="0"/>
              <w:marRight w:val="0"/>
              <w:marTop w:val="0"/>
              <w:marBottom w:val="0"/>
              <w:divBdr>
                <w:top w:val="none" w:sz="0" w:space="0" w:color="auto"/>
                <w:left w:val="none" w:sz="0" w:space="0" w:color="auto"/>
                <w:bottom w:val="none" w:sz="0" w:space="0" w:color="auto"/>
                <w:right w:val="none" w:sz="0" w:space="0" w:color="auto"/>
              </w:divBdr>
            </w:div>
            <w:div w:id="1322394377">
              <w:marLeft w:val="0"/>
              <w:marRight w:val="0"/>
              <w:marTop w:val="0"/>
              <w:marBottom w:val="0"/>
              <w:divBdr>
                <w:top w:val="none" w:sz="0" w:space="0" w:color="auto"/>
                <w:left w:val="none" w:sz="0" w:space="0" w:color="auto"/>
                <w:bottom w:val="none" w:sz="0" w:space="0" w:color="auto"/>
                <w:right w:val="none" w:sz="0" w:space="0" w:color="auto"/>
              </w:divBdr>
            </w:div>
            <w:div w:id="1322394402">
              <w:marLeft w:val="0"/>
              <w:marRight w:val="0"/>
              <w:marTop w:val="0"/>
              <w:marBottom w:val="0"/>
              <w:divBdr>
                <w:top w:val="none" w:sz="0" w:space="0" w:color="auto"/>
                <w:left w:val="none" w:sz="0" w:space="0" w:color="auto"/>
                <w:bottom w:val="none" w:sz="0" w:space="0" w:color="auto"/>
                <w:right w:val="none" w:sz="0" w:space="0" w:color="auto"/>
              </w:divBdr>
            </w:div>
            <w:div w:id="1322394404">
              <w:marLeft w:val="0"/>
              <w:marRight w:val="0"/>
              <w:marTop w:val="0"/>
              <w:marBottom w:val="0"/>
              <w:divBdr>
                <w:top w:val="none" w:sz="0" w:space="0" w:color="auto"/>
                <w:left w:val="none" w:sz="0" w:space="0" w:color="auto"/>
                <w:bottom w:val="none" w:sz="0" w:space="0" w:color="auto"/>
                <w:right w:val="none" w:sz="0" w:space="0" w:color="auto"/>
              </w:divBdr>
            </w:div>
            <w:div w:id="1322394430">
              <w:marLeft w:val="0"/>
              <w:marRight w:val="0"/>
              <w:marTop w:val="0"/>
              <w:marBottom w:val="0"/>
              <w:divBdr>
                <w:top w:val="none" w:sz="0" w:space="0" w:color="auto"/>
                <w:left w:val="none" w:sz="0" w:space="0" w:color="auto"/>
                <w:bottom w:val="none" w:sz="0" w:space="0" w:color="auto"/>
                <w:right w:val="none" w:sz="0" w:space="0" w:color="auto"/>
              </w:divBdr>
            </w:div>
            <w:div w:id="1322394438">
              <w:marLeft w:val="0"/>
              <w:marRight w:val="0"/>
              <w:marTop w:val="0"/>
              <w:marBottom w:val="0"/>
              <w:divBdr>
                <w:top w:val="none" w:sz="0" w:space="0" w:color="auto"/>
                <w:left w:val="none" w:sz="0" w:space="0" w:color="auto"/>
                <w:bottom w:val="none" w:sz="0" w:space="0" w:color="auto"/>
                <w:right w:val="none" w:sz="0" w:space="0" w:color="auto"/>
              </w:divBdr>
            </w:div>
            <w:div w:id="1322394444">
              <w:marLeft w:val="0"/>
              <w:marRight w:val="0"/>
              <w:marTop w:val="0"/>
              <w:marBottom w:val="0"/>
              <w:divBdr>
                <w:top w:val="none" w:sz="0" w:space="0" w:color="auto"/>
                <w:left w:val="none" w:sz="0" w:space="0" w:color="auto"/>
                <w:bottom w:val="none" w:sz="0" w:space="0" w:color="auto"/>
                <w:right w:val="none" w:sz="0" w:space="0" w:color="auto"/>
              </w:divBdr>
            </w:div>
            <w:div w:id="1322394447">
              <w:marLeft w:val="0"/>
              <w:marRight w:val="0"/>
              <w:marTop w:val="0"/>
              <w:marBottom w:val="0"/>
              <w:divBdr>
                <w:top w:val="none" w:sz="0" w:space="0" w:color="auto"/>
                <w:left w:val="none" w:sz="0" w:space="0" w:color="auto"/>
                <w:bottom w:val="none" w:sz="0" w:space="0" w:color="auto"/>
                <w:right w:val="none" w:sz="0" w:space="0" w:color="auto"/>
              </w:divBdr>
            </w:div>
            <w:div w:id="1322394456">
              <w:marLeft w:val="0"/>
              <w:marRight w:val="0"/>
              <w:marTop w:val="0"/>
              <w:marBottom w:val="0"/>
              <w:divBdr>
                <w:top w:val="none" w:sz="0" w:space="0" w:color="auto"/>
                <w:left w:val="none" w:sz="0" w:space="0" w:color="auto"/>
                <w:bottom w:val="none" w:sz="0" w:space="0" w:color="auto"/>
                <w:right w:val="none" w:sz="0" w:space="0" w:color="auto"/>
              </w:divBdr>
            </w:div>
            <w:div w:id="1322394457">
              <w:marLeft w:val="0"/>
              <w:marRight w:val="0"/>
              <w:marTop w:val="0"/>
              <w:marBottom w:val="0"/>
              <w:divBdr>
                <w:top w:val="none" w:sz="0" w:space="0" w:color="auto"/>
                <w:left w:val="none" w:sz="0" w:space="0" w:color="auto"/>
                <w:bottom w:val="none" w:sz="0" w:space="0" w:color="auto"/>
                <w:right w:val="none" w:sz="0" w:space="0" w:color="auto"/>
              </w:divBdr>
            </w:div>
            <w:div w:id="13223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18">
      <w:marLeft w:val="3264"/>
      <w:marRight w:val="0"/>
      <w:marTop w:val="0"/>
      <w:marBottom w:val="0"/>
      <w:divBdr>
        <w:top w:val="none" w:sz="0" w:space="0" w:color="auto"/>
        <w:left w:val="single" w:sz="6" w:space="0" w:color="FABD23"/>
        <w:bottom w:val="none" w:sz="0" w:space="0" w:color="auto"/>
        <w:right w:val="none" w:sz="0" w:space="0" w:color="auto"/>
      </w:divBdr>
      <w:divsChild>
        <w:div w:id="1322394414">
          <w:marLeft w:val="3264"/>
          <w:marRight w:val="0"/>
          <w:marTop w:val="0"/>
          <w:marBottom w:val="0"/>
          <w:divBdr>
            <w:top w:val="none" w:sz="0" w:space="0" w:color="auto"/>
            <w:left w:val="single" w:sz="6" w:space="0" w:color="FABD23"/>
            <w:bottom w:val="none" w:sz="0" w:space="0" w:color="auto"/>
            <w:right w:val="none" w:sz="0" w:space="0" w:color="auto"/>
          </w:divBdr>
        </w:div>
        <w:div w:id="1322394417">
          <w:marLeft w:val="3264"/>
          <w:marRight w:val="0"/>
          <w:marTop w:val="0"/>
          <w:marBottom w:val="0"/>
          <w:divBdr>
            <w:top w:val="none" w:sz="0" w:space="0" w:color="auto"/>
            <w:left w:val="single" w:sz="6" w:space="0" w:color="FABD23"/>
            <w:bottom w:val="none" w:sz="0" w:space="0" w:color="auto"/>
            <w:right w:val="none" w:sz="0" w:space="0" w:color="auto"/>
          </w:divBdr>
        </w:div>
      </w:divsChild>
    </w:div>
    <w:div w:id="1322394421">
      <w:marLeft w:val="0"/>
      <w:marRight w:val="0"/>
      <w:marTop w:val="0"/>
      <w:marBottom w:val="0"/>
      <w:divBdr>
        <w:top w:val="none" w:sz="0" w:space="0" w:color="auto"/>
        <w:left w:val="none" w:sz="0" w:space="0" w:color="auto"/>
        <w:bottom w:val="none" w:sz="0" w:space="0" w:color="auto"/>
        <w:right w:val="none" w:sz="0" w:space="0" w:color="auto"/>
      </w:divBdr>
    </w:div>
    <w:div w:id="1322394424">
      <w:marLeft w:val="0"/>
      <w:marRight w:val="0"/>
      <w:marTop w:val="0"/>
      <w:marBottom w:val="0"/>
      <w:divBdr>
        <w:top w:val="none" w:sz="0" w:space="0" w:color="auto"/>
        <w:left w:val="none" w:sz="0" w:space="0" w:color="auto"/>
        <w:bottom w:val="none" w:sz="0" w:space="0" w:color="auto"/>
        <w:right w:val="none" w:sz="0" w:space="0" w:color="auto"/>
      </w:divBdr>
      <w:divsChild>
        <w:div w:id="1322394386">
          <w:marLeft w:val="0"/>
          <w:marRight w:val="0"/>
          <w:marTop w:val="0"/>
          <w:marBottom w:val="0"/>
          <w:divBdr>
            <w:top w:val="none" w:sz="0" w:space="0" w:color="auto"/>
            <w:left w:val="none" w:sz="0" w:space="0" w:color="auto"/>
            <w:bottom w:val="none" w:sz="0" w:space="0" w:color="auto"/>
            <w:right w:val="none" w:sz="0" w:space="0" w:color="auto"/>
          </w:divBdr>
          <w:divsChild>
            <w:div w:id="1322394389">
              <w:marLeft w:val="0"/>
              <w:marRight w:val="0"/>
              <w:marTop w:val="0"/>
              <w:marBottom w:val="0"/>
              <w:divBdr>
                <w:top w:val="none" w:sz="0" w:space="0" w:color="auto"/>
                <w:left w:val="none" w:sz="0" w:space="0" w:color="auto"/>
                <w:bottom w:val="none" w:sz="0" w:space="0" w:color="auto"/>
                <w:right w:val="none" w:sz="0" w:space="0" w:color="auto"/>
              </w:divBdr>
              <w:divsChild>
                <w:div w:id="1322394383">
                  <w:marLeft w:val="0"/>
                  <w:marRight w:val="0"/>
                  <w:marTop w:val="0"/>
                  <w:marBottom w:val="0"/>
                  <w:divBdr>
                    <w:top w:val="none" w:sz="0" w:space="0" w:color="auto"/>
                    <w:left w:val="none" w:sz="0" w:space="0" w:color="auto"/>
                    <w:bottom w:val="none" w:sz="0" w:space="0" w:color="auto"/>
                    <w:right w:val="none" w:sz="0" w:space="0" w:color="auto"/>
                  </w:divBdr>
                </w:div>
              </w:divsChild>
            </w:div>
            <w:div w:id="1322394429">
              <w:marLeft w:val="0"/>
              <w:marRight w:val="0"/>
              <w:marTop w:val="0"/>
              <w:marBottom w:val="0"/>
              <w:divBdr>
                <w:top w:val="none" w:sz="0" w:space="0" w:color="auto"/>
                <w:left w:val="none" w:sz="0" w:space="0" w:color="auto"/>
                <w:bottom w:val="none" w:sz="0" w:space="0" w:color="auto"/>
                <w:right w:val="none" w:sz="0" w:space="0" w:color="auto"/>
              </w:divBdr>
              <w:divsChild>
                <w:div w:id="1322394341">
                  <w:marLeft w:val="0"/>
                  <w:marRight w:val="0"/>
                  <w:marTop w:val="0"/>
                  <w:marBottom w:val="0"/>
                  <w:divBdr>
                    <w:top w:val="none" w:sz="0" w:space="0" w:color="auto"/>
                    <w:left w:val="none" w:sz="0" w:space="0" w:color="auto"/>
                    <w:bottom w:val="none" w:sz="0" w:space="0" w:color="auto"/>
                    <w:right w:val="none" w:sz="0" w:space="0" w:color="auto"/>
                  </w:divBdr>
                  <w:divsChild>
                    <w:div w:id="1322394442">
                      <w:marLeft w:val="0"/>
                      <w:marRight w:val="0"/>
                      <w:marTop w:val="0"/>
                      <w:marBottom w:val="0"/>
                      <w:divBdr>
                        <w:top w:val="none" w:sz="0" w:space="0" w:color="auto"/>
                        <w:left w:val="none" w:sz="0" w:space="0" w:color="auto"/>
                        <w:bottom w:val="none" w:sz="0" w:space="0" w:color="auto"/>
                        <w:right w:val="none" w:sz="0" w:space="0" w:color="auto"/>
                      </w:divBdr>
                      <w:divsChild>
                        <w:div w:id="1322394454">
                          <w:marLeft w:val="0"/>
                          <w:marRight w:val="0"/>
                          <w:marTop w:val="0"/>
                          <w:marBottom w:val="0"/>
                          <w:divBdr>
                            <w:top w:val="none" w:sz="0" w:space="0" w:color="auto"/>
                            <w:left w:val="none" w:sz="0" w:space="0" w:color="auto"/>
                            <w:bottom w:val="none" w:sz="0" w:space="0" w:color="auto"/>
                            <w:right w:val="none" w:sz="0" w:space="0" w:color="auto"/>
                          </w:divBdr>
                          <w:divsChild>
                            <w:div w:id="1322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67">
                  <w:marLeft w:val="0"/>
                  <w:marRight w:val="0"/>
                  <w:marTop w:val="0"/>
                  <w:marBottom w:val="0"/>
                  <w:divBdr>
                    <w:top w:val="none" w:sz="0" w:space="0" w:color="auto"/>
                    <w:left w:val="none" w:sz="0" w:space="0" w:color="auto"/>
                    <w:bottom w:val="none" w:sz="0" w:space="0" w:color="auto"/>
                    <w:right w:val="none" w:sz="0" w:space="0" w:color="auto"/>
                  </w:divBdr>
                  <w:divsChild>
                    <w:div w:id="1322394362">
                      <w:marLeft w:val="0"/>
                      <w:marRight w:val="0"/>
                      <w:marTop w:val="0"/>
                      <w:marBottom w:val="0"/>
                      <w:divBdr>
                        <w:top w:val="none" w:sz="0" w:space="0" w:color="auto"/>
                        <w:left w:val="none" w:sz="0" w:space="0" w:color="auto"/>
                        <w:bottom w:val="none" w:sz="0" w:space="0" w:color="auto"/>
                        <w:right w:val="none" w:sz="0" w:space="0" w:color="auto"/>
                      </w:divBdr>
                      <w:divsChild>
                        <w:div w:id="1322394387">
                          <w:marLeft w:val="0"/>
                          <w:marRight w:val="0"/>
                          <w:marTop w:val="0"/>
                          <w:marBottom w:val="0"/>
                          <w:divBdr>
                            <w:top w:val="none" w:sz="0" w:space="0" w:color="auto"/>
                            <w:left w:val="none" w:sz="0" w:space="0" w:color="auto"/>
                            <w:bottom w:val="none" w:sz="0" w:space="0" w:color="auto"/>
                            <w:right w:val="none" w:sz="0" w:space="0" w:color="auto"/>
                          </w:divBdr>
                          <w:divsChild>
                            <w:div w:id="13223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72">
                  <w:marLeft w:val="0"/>
                  <w:marRight w:val="0"/>
                  <w:marTop w:val="0"/>
                  <w:marBottom w:val="0"/>
                  <w:divBdr>
                    <w:top w:val="none" w:sz="0" w:space="0" w:color="auto"/>
                    <w:left w:val="none" w:sz="0" w:space="0" w:color="auto"/>
                    <w:bottom w:val="none" w:sz="0" w:space="0" w:color="auto"/>
                    <w:right w:val="none" w:sz="0" w:space="0" w:color="auto"/>
                  </w:divBdr>
                </w:div>
                <w:div w:id="1322394373">
                  <w:marLeft w:val="0"/>
                  <w:marRight w:val="0"/>
                  <w:marTop w:val="0"/>
                  <w:marBottom w:val="0"/>
                  <w:divBdr>
                    <w:top w:val="none" w:sz="0" w:space="0" w:color="auto"/>
                    <w:left w:val="none" w:sz="0" w:space="0" w:color="auto"/>
                    <w:bottom w:val="none" w:sz="0" w:space="0" w:color="auto"/>
                    <w:right w:val="none" w:sz="0" w:space="0" w:color="auto"/>
                  </w:divBdr>
                  <w:divsChild>
                    <w:div w:id="1322394428">
                      <w:marLeft w:val="0"/>
                      <w:marRight w:val="0"/>
                      <w:marTop w:val="0"/>
                      <w:marBottom w:val="0"/>
                      <w:divBdr>
                        <w:top w:val="none" w:sz="0" w:space="0" w:color="auto"/>
                        <w:left w:val="none" w:sz="0" w:space="0" w:color="auto"/>
                        <w:bottom w:val="none" w:sz="0" w:space="0" w:color="auto"/>
                        <w:right w:val="none" w:sz="0" w:space="0" w:color="auto"/>
                      </w:divBdr>
                      <w:divsChild>
                        <w:div w:id="13223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91">
                  <w:marLeft w:val="0"/>
                  <w:marRight w:val="0"/>
                  <w:marTop w:val="0"/>
                  <w:marBottom w:val="0"/>
                  <w:divBdr>
                    <w:top w:val="none" w:sz="0" w:space="0" w:color="auto"/>
                    <w:left w:val="none" w:sz="0" w:space="0" w:color="auto"/>
                    <w:bottom w:val="none" w:sz="0" w:space="0" w:color="auto"/>
                    <w:right w:val="none" w:sz="0" w:space="0" w:color="auto"/>
                  </w:divBdr>
                </w:div>
                <w:div w:id="1322394411">
                  <w:marLeft w:val="0"/>
                  <w:marRight w:val="0"/>
                  <w:marTop w:val="0"/>
                  <w:marBottom w:val="0"/>
                  <w:divBdr>
                    <w:top w:val="none" w:sz="0" w:space="0" w:color="auto"/>
                    <w:left w:val="none" w:sz="0" w:space="0" w:color="auto"/>
                    <w:bottom w:val="none" w:sz="0" w:space="0" w:color="auto"/>
                    <w:right w:val="none" w:sz="0" w:space="0" w:color="auto"/>
                  </w:divBdr>
                </w:div>
                <w:div w:id="1322394446">
                  <w:marLeft w:val="0"/>
                  <w:marRight w:val="0"/>
                  <w:marTop w:val="0"/>
                  <w:marBottom w:val="0"/>
                  <w:divBdr>
                    <w:top w:val="none" w:sz="0" w:space="0" w:color="auto"/>
                    <w:left w:val="none" w:sz="0" w:space="0" w:color="auto"/>
                    <w:bottom w:val="none" w:sz="0" w:space="0" w:color="auto"/>
                    <w:right w:val="none" w:sz="0" w:space="0" w:color="auto"/>
                  </w:divBdr>
                </w:div>
                <w:div w:id="1322394448">
                  <w:marLeft w:val="0"/>
                  <w:marRight w:val="0"/>
                  <w:marTop w:val="0"/>
                  <w:marBottom w:val="0"/>
                  <w:divBdr>
                    <w:top w:val="none" w:sz="0" w:space="0" w:color="auto"/>
                    <w:left w:val="none" w:sz="0" w:space="0" w:color="auto"/>
                    <w:bottom w:val="none" w:sz="0" w:space="0" w:color="auto"/>
                    <w:right w:val="none" w:sz="0" w:space="0" w:color="auto"/>
                  </w:divBdr>
                  <w:divsChild>
                    <w:div w:id="1322394461">
                      <w:marLeft w:val="0"/>
                      <w:marRight w:val="0"/>
                      <w:marTop w:val="0"/>
                      <w:marBottom w:val="0"/>
                      <w:divBdr>
                        <w:top w:val="none" w:sz="0" w:space="0" w:color="auto"/>
                        <w:left w:val="none" w:sz="0" w:space="0" w:color="auto"/>
                        <w:bottom w:val="none" w:sz="0" w:space="0" w:color="auto"/>
                        <w:right w:val="none" w:sz="0" w:space="0" w:color="auto"/>
                      </w:divBdr>
                      <w:divsChild>
                        <w:div w:id="1322394361">
                          <w:marLeft w:val="0"/>
                          <w:marRight w:val="0"/>
                          <w:marTop w:val="0"/>
                          <w:marBottom w:val="0"/>
                          <w:divBdr>
                            <w:top w:val="none" w:sz="0" w:space="0" w:color="auto"/>
                            <w:left w:val="none" w:sz="0" w:space="0" w:color="auto"/>
                            <w:bottom w:val="none" w:sz="0" w:space="0" w:color="auto"/>
                            <w:right w:val="none" w:sz="0" w:space="0" w:color="auto"/>
                          </w:divBdr>
                          <w:divsChild>
                            <w:div w:id="13223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0">
                  <w:marLeft w:val="0"/>
                  <w:marRight w:val="0"/>
                  <w:marTop w:val="0"/>
                  <w:marBottom w:val="0"/>
                  <w:divBdr>
                    <w:top w:val="none" w:sz="0" w:space="0" w:color="auto"/>
                    <w:left w:val="none" w:sz="0" w:space="0" w:color="auto"/>
                    <w:bottom w:val="none" w:sz="0" w:space="0" w:color="auto"/>
                    <w:right w:val="none" w:sz="0" w:space="0" w:color="auto"/>
                  </w:divBdr>
                  <w:divsChild>
                    <w:div w:id="1322394376">
                      <w:marLeft w:val="0"/>
                      <w:marRight w:val="0"/>
                      <w:marTop w:val="0"/>
                      <w:marBottom w:val="0"/>
                      <w:divBdr>
                        <w:top w:val="none" w:sz="0" w:space="0" w:color="auto"/>
                        <w:left w:val="none" w:sz="0" w:space="0" w:color="auto"/>
                        <w:bottom w:val="none" w:sz="0" w:space="0" w:color="auto"/>
                        <w:right w:val="none" w:sz="0" w:space="0" w:color="auto"/>
                      </w:divBdr>
                      <w:divsChild>
                        <w:div w:id="1322394343">
                          <w:marLeft w:val="0"/>
                          <w:marRight w:val="0"/>
                          <w:marTop w:val="0"/>
                          <w:marBottom w:val="0"/>
                          <w:divBdr>
                            <w:top w:val="none" w:sz="0" w:space="0" w:color="auto"/>
                            <w:left w:val="none" w:sz="0" w:space="0" w:color="auto"/>
                            <w:bottom w:val="none" w:sz="0" w:space="0" w:color="auto"/>
                            <w:right w:val="none" w:sz="0" w:space="0" w:color="auto"/>
                          </w:divBdr>
                          <w:divsChild>
                            <w:div w:id="13223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27">
      <w:marLeft w:val="0"/>
      <w:marRight w:val="0"/>
      <w:marTop w:val="0"/>
      <w:marBottom w:val="0"/>
      <w:divBdr>
        <w:top w:val="none" w:sz="0" w:space="0" w:color="auto"/>
        <w:left w:val="none" w:sz="0" w:space="0" w:color="auto"/>
        <w:bottom w:val="none" w:sz="0" w:space="0" w:color="auto"/>
        <w:right w:val="none" w:sz="0" w:space="0" w:color="auto"/>
      </w:divBdr>
    </w:div>
    <w:div w:id="1322394445">
      <w:marLeft w:val="0"/>
      <w:marRight w:val="0"/>
      <w:marTop w:val="0"/>
      <w:marBottom w:val="0"/>
      <w:divBdr>
        <w:top w:val="none" w:sz="0" w:space="0" w:color="auto"/>
        <w:left w:val="none" w:sz="0" w:space="0" w:color="auto"/>
        <w:bottom w:val="none" w:sz="0" w:space="0" w:color="auto"/>
        <w:right w:val="none" w:sz="0" w:space="0" w:color="auto"/>
      </w:divBdr>
    </w:div>
    <w:div w:id="1322394451">
      <w:marLeft w:val="0"/>
      <w:marRight w:val="0"/>
      <w:marTop w:val="0"/>
      <w:marBottom w:val="0"/>
      <w:divBdr>
        <w:top w:val="none" w:sz="0" w:space="0" w:color="auto"/>
        <w:left w:val="none" w:sz="0" w:space="0" w:color="auto"/>
        <w:bottom w:val="none" w:sz="0" w:space="0" w:color="auto"/>
        <w:right w:val="none" w:sz="0" w:space="0" w:color="auto"/>
      </w:divBdr>
    </w:div>
    <w:div w:id="1322394455">
      <w:marLeft w:val="0"/>
      <w:marRight w:val="0"/>
      <w:marTop w:val="0"/>
      <w:marBottom w:val="0"/>
      <w:divBdr>
        <w:top w:val="none" w:sz="0" w:space="0" w:color="auto"/>
        <w:left w:val="none" w:sz="0" w:space="0" w:color="auto"/>
        <w:bottom w:val="none" w:sz="0" w:space="0" w:color="auto"/>
        <w:right w:val="none" w:sz="0" w:space="0" w:color="auto"/>
      </w:divBdr>
    </w:div>
    <w:div w:id="1322394459">
      <w:marLeft w:val="0"/>
      <w:marRight w:val="0"/>
      <w:marTop w:val="0"/>
      <w:marBottom w:val="0"/>
      <w:divBdr>
        <w:top w:val="none" w:sz="0" w:space="0" w:color="auto"/>
        <w:left w:val="none" w:sz="0" w:space="0" w:color="auto"/>
        <w:bottom w:val="none" w:sz="0" w:space="0" w:color="auto"/>
        <w:right w:val="none" w:sz="0" w:space="0" w:color="auto"/>
      </w:divBdr>
      <w:divsChild>
        <w:div w:id="1322394337">
          <w:marLeft w:val="0"/>
          <w:marRight w:val="0"/>
          <w:marTop w:val="0"/>
          <w:marBottom w:val="0"/>
          <w:divBdr>
            <w:top w:val="none" w:sz="0" w:space="0" w:color="auto"/>
            <w:left w:val="none" w:sz="0" w:space="0" w:color="auto"/>
            <w:bottom w:val="none" w:sz="0" w:space="0" w:color="auto"/>
            <w:right w:val="none" w:sz="0" w:space="0" w:color="auto"/>
          </w:divBdr>
          <w:divsChild>
            <w:div w:id="1322394382">
              <w:marLeft w:val="0"/>
              <w:marRight w:val="0"/>
              <w:marTop w:val="0"/>
              <w:marBottom w:val="0"/>
              <w:divBdr>
                <w:top w:val="none" w:sz="0" w:space="0" w:color="auto"/>
                <w:left w:val="none" w:sz="0" w:space="0" w:color="auto"/>
                <w:bottom w:val="none" w:sz="0" w:space="0" w:color="auto"/>
                <w:right w:val="none" w:sz="0" w:space="0" w:color="auto"/>
              </w:divBdr>
            </w:div>
          </w:divsChild>
        </w:div>
        <w:div w:id="1322394354">
          <w:marLeft w:val="0"/>
          <w:marRight w:val="0"/>
          <w:marTop w:val="0"/>
          <w:marBottom w:val="0"/>
          <w:divBdr>
            <w:top w:val="none" w:sz="0" w:space="0" w:color="auto"/>
            <w:left w:val="none" w:sz="0" w:space="0" w:color="auto"/>
            <w:bottom w:val="none" w:sz="0" w:space="0" w:color="auto"/>
            <w:right w:val="none" w:sz="0" w:space="0" w:color="auto"/>
          </w:divBdr>
          <w:divsChild>
            <w:div w:id="1322394449">
              <w:marLeft w:val="0"/>
              <w:marRight w:val="0"/>
              <w:marTop w:val="0"/>
              <w:marBottom w:val="0"/>
              <w:divBdr>
                <w:top w:val="none" w:sz="0" w:space="0" w:color="auto"/>
                <w:left w:val="none" w:sz="0" w:space="0" w:color="auto"/>
                <w:bottom w:val="none" w:sz="0" w:space="0" w:color="auto"/>
                <w:right w:val="none" w:sz="0" w:space="0" w:color="auto"/>
              </w:divBdr>
            </w:div>
          </w:divsChild>
        </w:div>
        <w:div w:id="1322394359">
          <w:marLeft w:val="0"/>
          <w:marRight w:val="0"/>
          <w:marTop w:val="0"/>
          <w:marBottom w:val="0"/>
          <w:divBdr>
            <w:top w:val="none" w:sz="0" w:space="0" w:color="auto"/>
            <w:left w:val="none" w:sz="0" w:space="0" w:color="auto"/>
            <w:bottom w:val="none" w:sz="0" w:space="0" w:color="auto"/>
            <w:right w:val="none" w:sz="0" w:space="0" w:color="auto"/>
          </w:divBdr>
          <w:divsChild>
            <w:div w:id="1322394425">
              <w:marLeft w:val="0"/>
              <w:marRight w:val="0"/>
              <w:marTop w:val="0"/>
              <w:marBottom w:val="0"/>
              <w:divBdr>
                <w:top w:val="none" w:sz="0" w:space="0" w:color="auto"/>
                <w:left w:val="none" w:sz="0" w:space="0" w:color="auto"/>
                <w:bottom w:val="none" w:sz="0" w:space="0" w:color="auto"/>
                <w:right w:val="none" w:sz="0" w:space="0" w:color="auto"/>
              </w:divBdr>
            </w:div>
          </w:divsChild>
        </w:div>
        <w:div w:id="1322394371">
          <w:marLeft w:val="0"/>
          <w:marRight w:val="0"/>
          <w:marTop w:val="0"/>
          <w:marBottom w:val="0"/>
          <w:divBdr>
            <w:top w:val="none" w:sz="0" w:space="0" w:color="auto"/>
            <w:left w:val="none" w:sz="0" w:space="0" w:color="auto"/>
            <w:bottom w:val="none" w:sz="0" w:space="0" w:color="auto"/>
            <w:right w:val="none" w:sz="0" w:space="0" w:color="auto"/>
          </w:divBdr>
          <w:divsChild>
            <w:div w:id="1322394478">
              <w:marLeft w:val="0"/>
              <w:marRight w:val="0"/>
              <w:marTop w:val="0"/>
              <w:marBottom w:val="0"/>
              <w:divBdr>
                <w:top w:val="none" w:sz="0" w:space="0" w:color="auto"/>
                <w:left w:val="none" w:sz="0" w:space="0" w:color="auto"/>
                <w:bottom w:val="none" w:sz="0" w:space="0" w:color="auto"/>
                <w:right w:val="none" w:sz="0" w:space="0" w:color="auto"/>
              </w:divBdr>
              <w:divsChild>
                <w:div w:id="13223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78">
          <w:marLeft w:val="0"/>
          <w:marRight w:val="0"/>
          <w:marTop w:val="0"/>
          <w:marBottom w:val="0"/>
          <w:divBdr>
            <w:top w:val="none" w:sz="0" w:space="0" w:color="auto"/>
            <w:left w:val="none" w:sz="0" w:space="0" w:color="auto"/>
            <w:bottom w:val="none" w:sz="0" w:space="0" w:color="auto"/>
            <w:right w:val="none" w:sz="0" w:space="0" w:color="auto"/>
          </w:divBdr>
        </w:div>
        <w:div w:id="1322394394">
          <w:marLeft w:val="0"/>
          <w:marRight w:val="0"/>
          <w:marTop w:val="0"/>
          <w:marBottom w:val="0"/>
          <w:divBdr>
            <w:top w:val="none" w:sz="0" w:space="0" w:color="auto"/>
            <w:left w:val="none" w:sz="0" w:space="0" w:color="auto"/>
            <w:bottom w:val="none" w:sz="0" w:space="0" w:color="auto"/>
            <w:right w:val="none" w:sz="0" w:space="0" w:color="auto"/>
          </w:divBdr>
          <w:divsChild>
            <w:div w:id="1322394356">
              <w:marLeft w:val="0"/>
              <w:marRight w:val="0"/>
              <w:marTop w:val="0"/>
              <w:marBottom w:val="0"/>
              <w:divBdr>
                <w:top w:val="none" w:sz="0" w:space="0" w:color="auto"/>
                <w:left w:val="none" w:sz="0" w:space="0" w:color="auto"/>
                <w:bottom w:val="none" w:sz="0" w:space="0" w:color="auto"/>
                <w:right w:val="none" w:sz="0" w:space="0" w:color="auto"/>
              </w:divBdr>
            </w:div>
          </w:divsChild>
        </w:div>
        <w:div w:id="1322394413">
          <w:marLeft w:val="0"/>
          <w:marRight w:val="0"/>
          <w:marTop w:val="0"/>
          <w:marBottom w:val="0"/>
          <w:divBdr>
            <w:top w:val="none" w:sz="0" w:space="0" w:color="auto"/>
            <w:left w:val="none" w:sz="0" w:space="0" w:color="auto"/>
            <w:bottom w:val="none" w:sz="0" w:space="0" w:color="auto"/>
            <w:right w:val="none" w:sz="0" w:space="0" w:color="auto"/>
          </w:divBdr>
          <w:divsChild>
            <w:div w:id="1322394346">
              <w:marLeft w:val="0"/>
              <w:marRight w:val="0"/>
              <w:marTop w:val="0"/>
              <w:marBottom w:val="0"/>
              <w:divBdr>
                <w:top w:val="none" w:sz="0" w:space="0" w:color="auto"/>
                <w:left w:val="none" w:sz="0" w:space="0" w:color="auto"/>
                <w:bottom w:val="none" w:sz="0" w:space="0" w:color="auto"/>
                <w:right w:val="none" w:sz="0" w:space="0" w:color="auto"/>
              </w:divBdr>
            </w:div>
          </w:divsChild>
        </w:div>
        <w:div w:id="1322394433">
          <w:marLeft w:val="0"/>
          <w:marRight w:val="0"/>
          <w:marTop w:val="0"/>
          <w:marBottom w:val="0"/>
          <w:divBdr>
            <w:top w:val="none" w:sz="0" w:space="0" w:color="auto"/>
            <w:left w:val="none" w:sz="0" w:space="0" w:color="auto"/>
            <w:bottom w:val="none" w:sz="0" w:space="0" w:color="auto"/>
            <w:right w:val="none" w:sz="0" w:space="0" w:color="auto"/>
          </w:divBdr>
          <w:divsChild>
            <w:div w:id="13223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4">
      <w:marLeft w:val="0"/>
      <w:marRight w:val="0"/>
      <w:marTop w:val="0"/>
      <w:marBottom w:val="0"/>
      <w:divBdr>
        <w:top w:val="none" w:sz="0" w:space="0" w:color="auto"/>
        <w:left w:val="none" w:sz="0" w:space="0" w:color="auto"/>
        <w:bottom w:val="none" w:sz="0" w:space="0" w:color="auto"/>
        <w:right w:val="none" w:sz="0" w:space="0" w:color="auto"/>
      </w:divBdr>
    </w:div>
    <w:div w:id="1322394466">
      <w:marLeft w:val="0"/>
      <w:marRight w:val="0"/>
      <w:marTop w:val="0"/>
      <w:marBottom w:val="0"/>
      <w:divBdr>
        <w:top w:val="none" w:sz="0" w:space="0" w:color="auto"/>
        <w:left w:val="none" w:sz="0" w:space="0" w:color="auto"/>
        <w:bottom w:val="none" w:sz="0" w:space="0" w:color="auto"/>
        <w:right w:val="none" w:sz="0" w:space="0" w:color="auto"/>
      </w:divBdr>
      <w:divsChild>
        <w:div w:id="1322394342">
          <w:marLeft w:val="0"/>
          <w:marRight w:val="0"/>
          <w:marTop w:val="0"/>
          <w:marBottom w:val="0"/>
          <w:divBdr>
            <w:top w:val="none" w:sz="0" w:space="0" w:color="auto"/>
            <w:left w:val="none" w:sz="0" w:space="0" w:color="auto"/>
            <w:bottom w:val="none" w:sz="0" w:space="0" w:color="auto"/>
            <w:right w:val="none" w:sz="0" w:space="0" w:color="auto"/>
          </w:divBdr>
          <w:divsChild>
            <w:div w:id="1322394353">
              <w:marLeft w:val="0"/>
              <w:marRight w:val="0"/>
              <w:marTop w:val="0"/>
              <w:marBottom w:val="0"/>
              <w:divBdr>
                <w:top w:val="none" w:sz="0" w:space="0" w:color="auto"/>
                <w:left w:val="none" w:sz="0" w:space="0" w:color="auto"/>
                <w:bottom w:val="none" w:sz="0" w:space="0" w:color="auto"/>
                <w:right w:val="none" w:sz="0" w:space="0" w:color="auto"/>
              </w:divBdr>
            </w:div>
          </w:divsChild>
        </w:div>
        <w:div w:id="1322394360">
          <w:marLeft w:val="0"/>
          <w:marRight w:val="0"/>
          <w:marTop w:val="0"/>
          <w:marBottom w:val="0"/>
          <w:divBdr>
            <w:top w:val="none" w:sz="0" w:space="0" w:color="auto"/>
            <w:left w:val="none" w:sz="0" w:space="0" w:color="auto"/>
            <w:bottom w:val="none" w:sz="0" w:space="0" w:color="auto"/>
            <w:right w:val="none" w:sz="0" w:space="0" w:color="auto"/>
          </w:divBdr>
        </w:div>
        <w:div w:id="1322394385">
          <w:marLeft w:val="0"/>
          <w:marRight w:val="0"/>
          <w:marTop w:val="0"/>
          <w:marBottom w:val="0"/>
          <w:divBdr>
            <w:top w:val="none" w:sz="0" w:space="0" w:color="auto"/>
            <w:left w:val="none" w:sz="0" w:space="0" w:color="auto"/>
            <w:bottom w:val="none" w:sz="0" w:space="0" w:color="auto"/>
            <w:right w:val="none" w:sz="0" w:space="0" w:color="auto"/>
          </w:divBdr>
          <w:divsChild>
            <w:div w:id="1322394400">
              <w:marLeft w:val="0"/>
              <w:marRight w:val="0"/>
              <w:marTop w:val="0"/>
              <w:marBottom w:val="0"/>
              <w:divBdr>
                <w:top w:val="none" w:sz="0" w:space="0" w:color="auto"/>
                <w:left w:val="none" w:sz="0" w:space="0" w:color="auto"/>
                <w:bottom w:val="none" w:sz="0" w:space="0" w:color="auto"/>
                <w:right w:val="none" w:sz="0" w:space="0" w:color="auto"/>
              </w:divBdr>
            </w:div>
          </w:divsChild>
        </w:div>
        <w:div w:id="1322394397">
          <w:marLeft w:val="0"/>
          <w:marRight w:val="0"/>
          <w:marTop w:val="0"/>
          <w:marBottom w:val="0"/>
          <w:divBdr>
            <w:top w:val="none" w:sz="0" w:space="0" w:color="auto"/>
            <w:left w:val="none" w:sz="0" w:space="0" w:color="auto"/>
            <w:bottom w:val="none" w:sz="0" w:space="0" w:color="auto"/>
            <w:right w:val="none" w:sz="0" w:space="0" w:color="auto"/>
          </w:divBdr>
        </w:div>
        <w:div w:id="1322394443">
          <w:marLeft w:val="0"/>
          <w:marRight w:val="0"/>
          <w:marTop w:val="0"/>
          <w:marBottom w:val="0"/>
          <w:divBdr>
            <w:top w:val="none" w:sz="0" w:space="0" w:color="auto"/>
            <w:left w:val="none" w:sz="0" w:space="0" w:color="auto"/>
            <w:bottom w:val="none" w:sz="0" w:space="0" w:color="auto"/>
            <w:right w:val="none" w:sz="0" w:space="0" w:color="auto"/>
          </w:divBdr>
          <w:divsChild>
            <w:div w:id="1322394434">
              <w:marLeft w:val="0"/>
              <w:marRight w:val="0"/>
              <w:marTop w:val="0"/>
              <w:marBottom w:val="0"/>
              <w:divBdr>
                <w:top w:val="none" w:sz="0" w:space="0" w:color="auto"/>
                <w:left w:val="none" w:sz="0" w:space="0" w:color="auto"/>
                <w:bottom w:val="none" w:sz="0" w:space="0" w:color="auto"/>
                <w:right w:val="none" w:sz="0" w:space="0" w:color="auto"/>
              </w:divBdr>
              <w:divsChild>
                <w:div w:id="13223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8">
          <w:marLeft w:val="0"/>
          <w:marRight w:val="0"/>
          <w:marTop w:val="0"/>
          <w:marBottom w:val="0"/>
          <w:divBdr>
            <w:top w:val="none" w:sz="0" w:space="0" w:color="auto"/>
            <w:left w:val="none" w:sz="0" w:space="0" w:color="auto"/>
            <w:bottom w:val="none" w:sz="0" w:space="0" w:color="auto"/>
            <w:right w:val="none" w:sz="0" w:space="0" w:color="auto"/>
          </w:divBdr>
          <w:divsChild>
            <w:div w:id="1322394358">
              <w:marLeft w:val="0"/>
              <w:marRight w:val="0"/>
              <w:marTop w:val="0"/>
              <w:marBottom w:val="0"/>
              <w:divBdr>
                <w:top w:val="none" w:sz="0" w:space="0" w:color="auto"/>
                <w:left w:val="none" w:sz="0" w:space="0" w:color="auto"/>
                <w:bottom w:val="none" w:sz="0" w:space="0" w:color="auto"/>
                <w:right w:val="none" w:sz="0" w:space="0" w:color="auto"/>
              </w:divBdr>
            </w:div>
          </w:divsChild>
        </w:div>
        <w:div w:id="1322394479">
          <w:marLeft w:val="0"/>
          <w:marRight w:val="0"/>
          <w:marTop w:val="0"/>
          <w:marBottom w:val="0"/>
          <w:divBdr>
            <w:top w:val="none" w:sz="0" w:space="0" w:color="auto"/>
            <w:left w:val="none" w:sz="0" w:space="0" w:color="auto"/>
            <w:bottom w:val="none" w:sz="0" w:space="0" w:color="auto"/>
            <w:right w:val="none" w:sz="0" w:space="0" w:color="auto"/>
          </w:divBdr>
          <w:divsChild>
            <w:div w:id="1322394435">
              <w:marLeft w:val="0"/>
              <w:marRight w:val="0"/>
              <w:marTop w:val="0"/>
              <w:marBottom w:val="0"/>
              <w:divBdr>
                <w:top w:val="none" w:sz="0" w:space="0" w:color="auto"/>
                <w:left w:val="none" w:sz="0" w:space="0" w:color="auto"/>
                <w:bottom w:val="none" w:sz="0" w:space="0" w:color="auto"/>
                <w:right w:val="none" w:sz="0" w:space="0" w:color="auto"/>
              </w:divBdr>
            </w:div>
          </w:divsChild>
        </w:div>
        <w:div w:id="1322394482">
          <w:marLeft w:val="0"/>
          <w:marRight w:val="0"/>
          <w:marTop w:val="0"/>
          <w:marBottom w:val="0"/>
          <w:divBdr>
            <w:top w:val="none" w:sz="0" w:space="0" w:color="auto"/>
            <w:left w:val="none" w:sz="0" w:space="0" w:color="auto"/>
            <w:bottom w:val="none" w:sz="0" w:space="0" w:color="auto"/>
            <w:right w:val="none" w:sz="0" w:space="0" w:color="auto"/>
          </w:divBdr>
          <w:divsChild>
            <w:div w:id="13223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71">
      <w:marLeft w:val="0"/>
      <w:marRight w:val="0"/>
      <w:marTop w:val="0"/>
      <w:marBottom w:val="0"/>
      <w:divBdr>
        <w:top w:val="none" w:sz="0" w:space="0" w:color="auto"/>
        <w:left w:val="none" w:sz="0" w:space="0" w:color="auto"/>
        <w:bottom w:val="none" w:sz="0" w:space="0" w:color="auto"/>
        <w:right w:val="none" w:sz="0" w:space="0" w:color="auto"/>
      </w:divBdr>
    </w:div>
    <w:div w:id="1322394483">
      <w:marLeft w:val="375"/>
      <w:marRight w:val="0"/>
      <w:marTop w:val="375"/>
      <w:marBottom w:val="0"/>
      <w:divBdr>
        <w:top w:val="none" w:sz="0" w:space="0" w:color="auto"/>
        <w:left w:val="none" w:sz="0" w:space="0" w:color="auto"/>
        <w:bottom w:val="none" w:sz="0" w:space="0" w:color="auto"/>
        <w:right w:val="none" w:sz="0" w:space="0" w:color="auto"/>
      </w:divBdr>
      <w:divsChild>
        <w:div w:id="1322394345">
          <w:marLeft w:val="0"/>
          <w:marRight w:val="0"/>
          <w:marTop w:val="0"/>
          <w:marBottom w:val="0"/>
          <w:divBdr>
            <w:top w:val="none" w:sz="0" w:space="0" w:color="auto"/>
            <w:left w:val="none" w:sz="0" w:space="0" w:color="auto"/>
            <w:bottom w:val="none" w:sz="0" w:space="0" w:color="auto"/>
            <w:right w:val="none" w:sz="0" w:space="0" w:color="auto"/>
          </w:divBdr>
        </w:div>
        <w:div w:id="1322394348">
          <w:marLeft w:val="0"/>
          <w:marRight w:val="0"/>
          <w:marTop w:val="0"/>
          <w:marBottom w:val="0"/>
          <w:divBdr>
            <w:top w:val="none" w:sz="0" w:space="0" w:color="auto"/>
            <w:left w:val="none" w:sz="0" w:space="0" w:color="auto"/>
            <w:bottom w:val="none" w:sz="0" w:space="0" w:color="auto"/>
            <w:right w:val="none" w:sz="0" w:space="0" w:color="auto"/>
          </w:divBdr>
        </w:div>
        <w:div w:id="1322394363">
          <w:marLeft w:val="0"/>
          <w:marRight w:val="0"/>
          <w:marTop w:val="0"/>
          <w:marBottom w:val="0"/>
          <w:divBdr>
            <w:top w:val="none" w:sz="0" w:space="0" w:color="auto"/>
            <w:left w:val="none" w:sz="0" w:space="0" w:color="auto"/>
            <w:bottom w:val="none" w:sz="0" w:space="0" w:color="auto"/>
            <w:right w:val="none" w:sz="0" w:space="0" w:color="auto"/>
          </w:divBdr>
        </w:div>
        <w:div w:id="1322394368">
          <w:marLeft w:val="0"/>
          <w:marRight w:val="0"/>
          <w:marTop w:val="0"/>
          <w:marBottom w:val="0"/>
          <w:divBdr>
            <w:top w:val="none" w:sz="0" w:space="0" w:color="auto"/>
            <w:left w:val="none" w:sz="0" w:space="0" w:color="auto"/>
            <w:bottom w:val="none" w:sz="0" w:space="0" w:color="auto"/>
            <w:right w:val="none" w:sz="0" w:space="0" w:color="auto"/>
          </w:divBdr>
        </w:div>
        <w:div w:id="1322394369">
          <w:marLeft w:val="0"/>
          <w:marRight w:val="0"/>
          <w:marTop w:val="0"/>
          <w:marBottom w:val="0"/>
          <w:divBdr>
            <w:top w:val="none" w:sz="0" w:space="0" w:color="auto"/>
            <w:left w:val="none" w:sz="0" w:space="0" w:color="auto"/>
            <w:bottom w:val="none" w:sz="0" w:space="0" w:color="auto"/>
            <w:right w:val="none" w:sz="0" w:space="0" w:color="auto"/>
          </w:divBdr>
        </w:div>
        <w:div w:id="1322394380">
          <w:marLeft w:val="0"/>
          <w:marRight w:val="0"/>
          <w:marTop w:val="0"/>
          <w:marBottom w:val="0"/>
          <w:divBdr>
            <w:top w:val="none" w:sz="0" w:space="0" w:color="auto"/>
            <w:left w:val="none" w:sz="0" w:space="0" w:color="auto"/>
            <w:bottom w:val="none" w:sz="0" w:space="0" w:color="auto"/>
            <w:right w:val="none" w:sz="0" w:space="0" w:color="auto"/>
          </w:divBdr>
        </w:div>
        <w:div w:id="1322394381">
          <w:marLeft w:val="0"/>
          <w:marRight w:val="0"/>
          <w:marTop w:val="0"/>
          <w:marBottom w:val="0"/>
          <w:divBdr>
            <w:top w:val="none" w:sz="0" w:space="0" w:color="auto"/>
            <w:left w:val="none" w:sz="0" w:space="0" w:color="auto"/>
            <w:bottom w:val="none" w:sz="0" w:space="0" w:color="auto"/>
            <w:right w:val="none" w:sz="0" w:space="0" w:color="auto"/>
          </w:divBdr>
        </w:div>
        <w:div w:id="1322394410">
          <w:marLeft w:val="0"/>
          <w:marRight w:val="0"/>
          <w:marTop w:val="0"/>
          <w:marBottom w:val="0"/>
          <w:divBdr>
            <w:top w:val="none" w:sz="0" w:space="0" w:color="auto"/>
            <w:left w:val="none" w:sz="0" w:space="0" w:color="auto"/>
            <w:bottom w:val="none" w:sz="0" w:space="0" w:color="auto"/>
            <w:right w:val="none" w:sz="0" w:space="0" w:color="auto"/>
          </w:divBdr>
        </w:div>
        <w:div w:id="1322394416">
          <w:marLeft w:val="0"/>
          <w:marRight w:val="0"/>
          <w:marTop w:val="0"/>
          <w:marBottom w:val="0"/>
          <w:divBdr>
            <w:top w:val="none" w:sz="0" w:space="0" w:color="auto"/>
            <w:left w:val="none" w:sz="0" w:space="0" w:color="auto"/>
            <w:bottom w:val="none" w:sz="0" w:space="0" w:color="auto"/>
            <w:right w:val="none" w:sz="0" w:space="0" w:color="auto"/>
          </w:divBdr>
        </w:div>
        <w:div w:id="1322394422">
          <w:marLeft w:val="0"/>
          <w:marRight w:val="0"/>
          <w:marTop w:val="0"/>
          <w:marBottom w:val="0"/>
          <w:divBdr>
            <w:top w:val="none" w:sz="0" w:space="0" w:color="auto"/>
            <w:left w:val="none" w:sz="0" w:space="0" w:color="auto"/>
            <w:bottom w:val="none" w:sz="0" w:space="0" w:color="auto"/>
            <w:right w:val="none" w:sz="0" w:space="0" w:color="auto"/>
          </w:divBdr>
        </w:div>
        <w:div w:id="1322394431">
          <w:marLeft w:val="0"/>
          <w:marRight w:val="0"/>
          <w:marTop w:val="0"/>
          <w:marBottom w:val="0"/>
          <w:divBdr>
            <w:top w:val="none" w:sz="0" w:space="0" w:color="auto"/>
            <w:left w:val="none" w:sz="0" w:space="0" w:color="auto"/>
            <w:bottom w:val="none" w:sz="0" w:space="0" w:color="auto"/>
            <w:right w:val="none" w:sz="0" w:space="0" w:color="auto"/>
          </w:divBdr>
        </w:div>
        <w:div w:id="1322394439">
          <w:marLeft w:val="0"/>
          <w:marRight w:val="0"/>
          <w:marTop w:val="0"/>
          <w:marBottom w:val="0"/>
          <w:divBdr>
            <w:top w:val="none" w:sz="0" w:space="0" w:color="auto"/>
            <w:left w:val="none" w:sz="0" w:space="0" w:color="auto"/>
            <w:bottom w:val="none" w:sz="0" w:space="0" w:color="auto"/>
            <w:right w:val="none" w:sz="0" w:space="0" w:color="auto"/>
          </w:divBdr>
        </w:div>
        <w:div w:id="1322394441">
          <w:marLeft w:val="0"/>
          <w:marRight w:val="0"/>
          <w:marTop w:val="0"/>
          <w:marBottom w:val="0"/>
          <w:divBdr>
            <w:top w:val="none" w:sz="0" w:space="0" w:color="auto"/>
            <w:left w:val="none" w:sz="0" w:space="0" w:color="auto"/>
            <w:bottom w:val="none" w:sz="0" w:space="0" w:color="auto"/>
            <w:right w:val="none" w:sz="0" w:space="0" w:color="auto"/>
          </w:divBdr>
        </w:div>
        <w:div w:id="1322394463">
          <w:marLeft w:val="0"/>
          <w:marRight w:val="0"/>
          <w:marTop w:val="0"/>
          <w:marBottom w:val="0"/>
          <w:divBdr>
            <w:top w:val="none" w:sz="0" w:space="0" w:color="auto"/>
            <w:left w:val="none" w:sz="0" w:space="0" w:color="auto"/>
            <w:bottom w:val="none" w:sz="0" w:space="0" w:color="auto"/>
            <w:right w:val="none" w:sz="0" w:space="0" w:color="auto"/>
          </w:divBdr>
        </w:div>
      </w:divsChild>
    </w:div>
    <w:div w:id="1322394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onstitutionallyspeaking.co.za/why-the-hate-speech-provisions-may-be-unconstitutional/" TargetMode="External"/><Relationship Id="rId1" Type="http://schemas.openxmlformats.org/officeDocument/2006/relationships/hyperlink" Target="https://www.goodreads.com/quotes/9560747-freedom-of-speech-gives-us-the-right-to-offend-o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8E8E5-EADF-4D32-B9E2-B2E90BC1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14757</Words>
  <Characters>84118</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A. Cilliers</Company>
  <LinksUpToDate>false</LinksUpToDate>
  <CharactersWithSpaces>98678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Cilliers</dc:creator>
  <cp:keywords/>
  <dc:description/>
  <cp:lastModifiedBy>Ayanda Mdletshe</cp:lastModifiedBy>
  <cp:revision>2</cp:revision>
  <cp:lastPrinted>2019-11-29T06:52:00Z</cp:lastPrinted>
  <dcterms:created xsi:type="dcterms:W3CDTF">2019-11-29T09:27:00Z</dcterms:created>
  <dcterms:modified xsi:type="dcterms:W3CDTF">2019-11-29T09:27:00Z</dcterms:modified>
</cp:coreProperties>
</file>