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62" w:rsidRPr="002D499A" w:rsidRDefault="00566101" w:rsidP="004D3BF2">
      <w:pPr>
        <w:spacing w:line="360" w:lineRule="auto"/>
        <w:jc w:val="center"/>
        <w:rPr>
          <w:rFonts w:ascii="Arial" w:hAnsi="Arial" w:cs="Arial"/>
          <w:b/>
          <w:sz w:val="22"/>
          <w:szCs w:val="22"/>
        </w:rPr>
      </w:pPr>
      <w:r>
        <w:rPr>
          <w:rFonts w:ascii="Arial" w:hAnsi="Arial" w:cs="Arial"/>
          <w:b/>
          <w:sz w:val="22"/>
          <w:szCs w:val="22"/>
        </w:rPr>
        <w:t>NATIONAL ASSEMBLY</w:t>
      </w:r>
    </w:p>
    <w:p w:rsidR="008E3D62" w:rsidRPr="002D499A" w:rsidRDefault="008E3D62" w:rsidP="004D3BF2">
      <w:pPr>
        <w:spacing w:line="360" w:lineRule="auto"/>
        <w:jc w:val="center"/>
        <w:rPr>
          <w:rFonts w:ascii="Arial" w:hAnsi="Arial" w:cs="Arial"/>
          <w:b/>
          <w:sz w:val="22"/>
          <w:szCs w:val="22"/>
        </w:rPr>
      </w:pPr>
      <w:r w:rsidRPr="002D499A">
        <w:rPr>
          <w:rFonts w:ascii="Arial" w:hAnsi="Arial" w:cs="Arial"/>
          <w:b/>
          <w:sz w:val="22"/>
          <w:szCs w:val="22"/>
        </w:rPr>
        <w:t>QUESTION FOR WRITTEN REPLY</w:t>
      </w:r>
    </w:p>
    <w:p w:rsidR="008E3D62" w:rsidRPr="00C54E05" w:rsidRDefault="008E3D62" w:rsidP="004D3BF2">
      <w:pPr>
        <w:spacing w:line="360" w:lineRule="auto"/>
        <w:jc w:val="center"/>
        <w:rPr>
          <w:rFonts w:ascii="Arial" w:hAnsi="Arial" w:cs="Arial"/>
          <w:b/>
          <w:sz w:val="22"/>
          <w:szCs w:val="22"/>
        </w:rPr>
      </w:pPr>
      <w:r w:rsidRPr="00C54E05">
        <w:rPr>
          <w:rFonts w:ascii="Arial" w:hAnsi="Arial" w:cs="Arial"/>
          <w:b/>
          <w:sz w:val="22"/>
          <w:szCs w:val="22"/>
        </w:rPr>
        <w:t xml:space="preserve">QUESTION NUMBER: </w:t>
      </w:r>
      <w:r w:rsidR="00497807">
        <w:rPr>
          <w:rFonts w:ascii="Arial" w:hAnsi="Arial" w:cs="Arial"/>
          <w:b/>
          <w:sz w:val="22"/>
          <w:szCs w:val="22"/>
        </w:rPr>
        <w:t>986</w:t>
      </w:r>
      <w:r w:rsidRPr="00C54E05">
        <w:rPr>
          <w:rFonts w:ascii="Arial" w:hAnsi="Arial" w:cs="Arial"/>
          <w:b/>
          <w:sz w:val="22"/>
          <w:szCs w:val="22"/>
        </w:rPr>
        <w:t xml:space="preserve"> [</w:t>
      </w:r>
      <w:r w:rsidR="004D3BF2">
        <w:rPr>
          <w:rFonts w:ascii="Arial" w:hAnsi="Arial" w:cs="Arial"/>
          <w:b/>
          <w:sz w:val="22"/>
          <w:szCs w:val="22"/>
        </w:rPr>
        <w:t>NW</w:t>
      </w:r>
      <w:r w:rsidR="00497807">
        <w:rPr>
          <w:rFonts w:ascii="Arial" w:hAnsi="Arial" w:cs="Arial"/>
          <w:b/>
          <w:sz w:val="22"/>
          <w:szCs w:val="22"/>
        </w:rPr>
        <w:t>2138</w:t>
      </w:r>
      <w:r w:rsidRPr="00C54E05">
        <w:rPr>
          <w:rFonts w:ascii="Arial" w:hAnsi="Arial" w:cs="Arial"/>
          <w:b/>
          <w:sz w:val="22"/>
          <w:szCs w:val="22"/>
        </w:rPr>
        <w:t>E]</w:t>
      </w:r>
    </w:p>
    <w:p w:rsidR="008E3D62" w:rsidRPr="00C54E05" w:rsidRDefault="008E3D62" w:rsidP="004D3BF2">
      <w:pPr>
        <w:spacing w:line="360" w:lineRule="auto"/>
        <w:jc w:val="center"/>
        <w:rPr>
          <w:rFonts w:ascii="Arial" w:hAnsi="Arial" w:cs="Arial"/>
          <w:b/>
          <w:sz w:val="22"/>
          <w:szCs w:val="22"/>
        </w:rPr>
      </w:pPr>
      <w:r w:rsidRPr="00C54E05">
        <w:rPr>
          <w:rFonts w:ascii="Arial" w:hAnsi="Arial" w:cs="Arial"/>
          <w:b/>
          <w:sz w:val="22"/>
          <w:szCs w:val="22"/>
        </w:rPr>
        <w:t xml:space="preserve">DATE OF PUBLICATION: </w:t>
      </w:r>
      <w:r w:rsidR="00497807">
        <w:rPr>
          <w:rFonts w:ascii="Arial" w:hAnsi="Arial" w:cs="Arial"/>
          <w:b/>
          <w:sz w:val="22"/>
          <w:szCs w:val="22"/>
        </w:rPr>
        <w:t>20</w:t>
      </w:r>
      <w:r w:rsidRPr="00C54E05">
        <w:rPr>
          <w:rFonts w:ascii="Arial" w:hAnsi="Arial" w:cs="Arial"/>
          <w:b/>
          <w:sz w:val="22"/>
          <w:szCs w:val="22"/>
        </w:rPr>
        <w:t xml:space="preserve"> </w:t>
      </w:r>
      <w:r w:rsidR="00B5081C">
        <w:rPr>
          <w:rFonts w:ascii="Arial" w:hAnsi="Arial" w:cs="Arial"/>
          <w:b/>
          <w:sz w:val="22"/>
          <w:szCs w:val="22"/>
        </w:rPr>
        <w:t>SEPTEMBER</w:t>
      </w:r>
      <w:r w:rsidRPr="00C54E05">
        <w:rPr>
          <w:rFonts w:ascii="Arial" w:hAnsi="Arial" w:cs="Arial"/>
          <w:b/>
          <w:sz w:val="22"/>
          <w:szCs w:val="22"/>
        </w:rPr>
        <w:t xml:space="preserve"> 201</w:t>
      </w:r>
      <w:r w:rsidR="00566101">
        <w:rPr>
          <w:rFonts w:ascii="Arial" w:hAnsi="Arial" w:cs="Arial"/>
          <w:b/>
          <w:sz w:val="22"/>
          <w:szCs w:val="22"/>
        </w:rPr>
        <w:t>9</w:t>
      </w:r>
    </w:p>
    <w:p w:rsidR="008E3D62" w:rsidRPr="00B5081C" w:rsidRDefault="008E3D62" w:rsidP="00B5081C">
      <w:pPr>
        <w:spacing w:line="276" w:lineRule="auto"/>
        <w:jc w:val="both"/>
        <w:rPr>
          <w:rFonts w:ascii="Arial" w:hAnsi="Arial" w:cs="Arial"/>
          <w:b/>
          <w:sz w:val="22"/>
          <w:szCs w:val="22"/>
        </w:rPr>
      </w:pPr>
    </w:p>
    <w:p w:rsidR="00497807" w:rsidRPr="00497807" w:rsidRDefault="00497807" w:rsidP="00497807">
      <w:pPr>
        <w:spacing w:before="100" w:beforeAutospacing="1" w:after="100" w:afterAutospacing="1" w:line="276" w:lineRule="auto"/>
        <w:ind w:left="720" w:hanging="720"/>
        <w:jc w:val="both"/>
        <w:outlineLvl w:val="0"/>
        <w:rPr>
          <w:rFonts w:ascii="Arial" w:hAnsi="Arial" w:cs="Arial"/>
          <w:b/>
          <w:sz w:val="22"/>
          <w:szCs w:val="22"/>
        </w:rPr>
      </w:pPr>
      <w:r w:rsidRPr="00497807">
        <w:rPr>
          <w:rFonts w:ascii="Arial" w:hAnsi="Arial" w:cs="Arial"/>
          <w:b/>
          <w:sz w:val="22"/>
          <w:szCs w:val="22"/>
        </w:rPr>
        <w:t>986.</w:t>
      </w:r>
      <w:r w:rsidRPr="00497807">
        <w:rPr>
          <w:rFonts w:ascii="Arial" w:hAnsi="Arial" w:cs="Arial"/>
          <w:b/>
          <w:sz w:val="22"/>
          <w:szCs w:val="22"/>
        </w:rPr>
        <w:tab/>
        <w:t>Mr R A Lees (DA) to ask the Minister of Finance:</w:t>
      </w:r>
    </w:p>
    <w:p w:rsidR="00497807" w:rsidRPr="00497807" w:rsidRDefault="00497807" w:rsidP="00497807">
      <w:pPr>
        <w:spacing w:before="100" w:beforeAutospacing="1" w:after="100" w:afterAutospacing="1" w:line="276" w:lineRule="auto"/>
        <w:ind w:left="720"/>
        <w:jc w:val="both"/>
        <w:rPr>
          <w:rFonts w:ascii="Arial" w:eastAsia="Calibri" w:hAnsi="Arial" w:cs="Arial"/>
          <w:sz w:val="22"/>
          <w:szCs w:val="22"/>
          <w:lang w:val="en-ZA"/>
        </w:rPr>
      </w:pPr>
      <w:r w:rsidRPr="00497807">
        <w:rPr>
          <w:rFonts w:ascii="Arial" w:eastAsia="Calibri" w:hAnsi="Arial" w:cs="Arial"/>
          <w:sz w:val="22"/>
          <w:szCs w:val="22"/>
          <w:lang w:val="en-ZA"/>
        </w:rPr>
        <w:t>With regard to conditional grants budgeted for (a) provincial and (b) municipal spheres of government in the past four financial years, what are the details of (i) each grant partially spent or not spent at all including the amount of each grant (aa) not paid to the provincial and municipal spheres of government, (bb) returned to the national revenue fund by the provincial and municipal spheres of government and (cc) rolled over to future financial years and (ii) the reasons for the amount of each grant not having been spent, (iii) the amount of each grant actually spent and (iv)</w:t>
      </w:r>
      <w:r w:rsidRPr="00497807">
        <w:rPr>
          <w:rFonts w:ascii="Arial" w:hAnsi="Arial" w:cs="Arial"/>
          <w:color w:val="000000"/>
          <w:sz w:val="22"/>
          <w:szCs w:val="22"/>
          <w:lang w:eastAsia="en-ZA"/>
        </w:rPr>
        <w:t xml:space="preserve"> the amount budgeted for each grant</w:t>
      </w:r>
      <w:r w:rsidRPr="00497807">
        <w:rPr>
          <w:rFonts w:ascii="Arial" w:eastAsia="Calibri" w:hAnsi="Arial" w:cs="Arial"/>
          <w:color w:val="000000"/>
          <w:sz w:val="22"/>
          <w:szCs w:val="22"/>
          <w:lang w:val="en-ZA"/>
        </w:rPr>
        <w:t>?</w:t>
      </w:r>
      <w:r w:rsidRPr="00497807">
        <w:rPr>
          <w:rFonts w:ascii="Arial" w:eastAsia="Calibri" w:hAnsi="Arial" w:cs="Arial"/>
          <w:color w:val="000000"/>
          <w:sz w:val="22"/>
          <w:szCs w:val="22"/>
          <w:lang w:val="en-ZA"/>
        </w:rPr>
        <w:tab/>
      </w:r>
      <w:r w:rsidRPr="00497807">
        <w:rPr>
          <w:rFonts w:ascii="Arial" w:eastAsia="Calibri" w:hAnsi="Arial" w:cs="Arial"/>
          <w:color w:val="000000"/>
          <w:sz w:val="22"/>
          <w:szCs w:val="22"/>
          <w:lang w:val="en-ZA"/>
        </w:rPr>
        <w:tab/>
      </w:r>
      <w:r w:rsidRPr="00497807">
        <w:rPr>
          <w:rFonts w:ascii="Arial" w:eastAsia="Calibri" w:hAnsi="Arial" w:cs="Arial"/>
          <w:color w:val="000000"/>
          <w:sz w:val="22"/>
          <w:szCs w:val="22"/>
          <w:lang w:val="en-ZA"/>
        </w:rPr>
        <w:tab/>
      </w:r>
      <w:r w:rsidRPr="00497807">
        <w:rPr>
          <w:rFonts w:ascii="Arial" w:eastAsia="Calibri" w:hAnsi="Arial" w:cs="Arial"/>
          <w:color w:val="000000"/>
          <w:sz w:val="22"/>
          <w:szCs w:val="22"/>
          <w:lang w:val="en-ZA"/>
        </w:rPr>
        <w:tab/>
      </w:r>
      <w:r w:rsidRPr="00497807">
        <w:rPr>
          <w:rFonts w:ascii="Arial" w:eastAsia="Calibri" w:hAnsi="Arial" w:cs="Arial"/>
          <w:color w:val="000000"/>
          <w:sz w:val="22"/>
          <w:szCs w:val="22"/>
          <w:lang w:val="en-ZA"/>
        </w:rPr>
        <w:tab/>
      </w:r>
      <w:r w:rsidRPr="00497807">
        <w:rPr>
          <w:rFonts w:ascii="Arial" w:eastAsia="Calibri" w:hAnsi="Arial" w:cs="Arial"/>
          <w:color w:val="000000"/>
          <w:sz w:val="22"/>
          <w:szCs w:val="22"/>
          <w:lang w:val="en-ZA"/>
        </w:rPr>
        <w:tab/>
      </w:r>
      <w:r w:rsidRPr="00497807">
        <w:rPr>
          <w:rFonts w:ascii="Arial" w:eastAsia="Calibri" w:hAnsi="Arial" w:cs="Arial"/>
          <w:color w:val="000000"/>
          <w:sz w:val="22"/>
          <w:szCs w:val="22"/>
          <w:lang w:val="en-ZA"/>
        </w:rPr>
        <w:tab/>
      </w:r>
      <w:r>
        <w:rPr>
          <w:rFonts w:ascii="Arial" w:eastAsia="Calibri" w:hAnsi="Arial" w:cs="Arial"/>
          <w:color w:val="000000"/>
          <w:sz w:val="22"/>
          <w:szCs w:val="22"/>
          <w:lang w:val="en-ZA"/>
        </w:rPr>
        <w:tab/>
      </w:r>
      <w:r>
        <w:rPr>
          <w:rFonts w:ascii="Arial" w:eastAsia="Calibri" w:hAnsi="Arial" w:cs="Arial"/>
          <w:color w:val="000000"/>
          <w:sz w:val="22"/>
          <w:szCs w:val="22"/>
          <w:lang w:val="en-ZA"/>
        </w:rPr>
        <w:tab/>
      </w:r>
      <w:r w:rsidRPr="00497807">
        <w:rPr>
          <w:rFonts w:ascii="Arial" w:eastAsia="Calibri" w:hAnsi="Arial" w:cs="Arial"/>
          <w:color w:val="000000"/>
          <w:sz w:val="22"/>
          <w:szCs w:val="22"/>
          <w:lang w:val="en-ZA"/>
        </w:rPr>
        <w:tab/>
      </w:r>
      <w:r w:rsidRPr="00497807">
        <w:rPr>
          <w:rFonts w:ascii="Arial" w:eastAsia="Calibri" w:hAnsi="Arial" w:cs="Arial"/>
          <w:color w:val="000000"/>
          <w:sz w:val="22"/>
          <w:szCs w:val="22"/>
          <w:lang w:val="en-ZA"/>
        </w:rPr>
        <w:tab/>
      </w:r>
      <w:bookmarkStart w:id="0" w:name="_GoBack"/>
      <w:r w:rsidRPr="00497807">
        <w:rPr>
          <w:rFonts w:ascii="Arial" w:eastAsia="Calibri" w:hAnsi="Arial" w:cs="Arial"/>
          <w:sz w:val="22"/>
          <w:szCs w:val="22"/>
          <w:lang w:val="en-ZA"/>
        </w:rPr>
        <w:t>NW2138E</w:t>
      </w:r>
      <w:bookmarkEnd w:id="0"/>
    </w:p>
    <w:p w:rsidR="00112FF3" w:rsidRDefault="008E3D62" w:rsidP="00497807">
      <w:pPr>
        <w:spacing w:before="100" w:beforeAutospacing="1" w:after="100" w:afterAutospacing="1" w:line="276" w:lineRule="auto"/>
        <w:jc w:val="both"/>
        <w:outlineLvl w:val="0"/>
        <w:rPr>
          <w:rFonts w:ascii="Arial" w:hAnsi="Arial" w:cs="Arial"/>
          <w:sz w:val="22"/>
          <w:szCs w:val="22"/>
        </w:rPr>
      </w:pPr>
      <w:r w:rsidRPr="00497807">
        <w:rPr>
          <w:rFonts w:ascii="Arial" w:hAnsi="Arial" w:cs="Arial"/>
          <w:b/>
          <w:sz w:val="22"/>
          <w:szCs w:val="22"/>
        </w:rPr>
        <w:t>REPLY</w:t>
      </w:r>
      <w:r w:rsidRPr="00497807">
        <w:rPr>
          <w:rFonts w:ascii="Arial" w:hAnsi="Arial" w:cs="Arial"/>
          <w:sz w:val="22"/>
          <w:szCs w:val="22"/>
        </w:rPr>
        <w:t>:</w:t>
      </w:r>
      <w:r w:rsidR="00112FF3">
        <w:rPr>
          <w:rFonts w:ascii="Arial" w:hAnsi="Arial" w:cs="Arial"/>
          <w:sz w:val="22"/>
          <w:szCs w:val="22"/>
        </w:rPr>
        <w:t xml:space="preserve"> </w:t>
      </w:r>
    </w:p>
    <w:p w:rsidR="00A27843" w:rsidRPr="00171BDC" w:rsidRDefault="005419FC" w:rsidP="00A27843">
      <w:pPr>
        <w:tabs>
          <w:tab w:val="left" w:pos="432"/>
          <w:tab w:val="left" w:pos="864"/>
        </w:tabs>
        <w:spacing w:line="360" w:lineRule="auto"/>
        <w:jc w:val="both"/>
        <w:rPr>
          <w:rFonts w:ascii="Arial" w:hAnsi="Arial" w:cs="Arial"/>
          <w:sz w:val="22"/>
          <w:szCs w:val="22"/>
        </w:rPr>
      </w:pPr>
      <w:r>
        <w:rPr>
          <w:rFonts w:ascii="Arial" w:hAnsi="Arial" w:cs="Arial"/>
          <w:sz w:val="22"/>
          <w:szCs w:val="22"/>
        </w:rPr>
        <w:t>[(a)(i), (aa), (bb), (cc)</w:t>
      </w:r>
      <w:r w:rsidRPr="00171BDC">
        <w:rPr>
          <w:rFonts w:ascii="Arial" w:hAnsi="Arial" w:cs="Arial"/>
          <w:sz w:val="22"/>
          <w:szCs w:val="22"/>
        </w:rPr>
        <w:t>(ii)(iii) and (iv)</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2717B" w:rsidRPr="0062717B">
        <w:rPr>
          <w:rFonts w:ascii="Arial" w:hAnsi="Arial" w:cs="Arial"/>
          <w:b/>
          <w:sz w:val="22"/>
          <w:szCs w:val="22"/>
        </w:rPr>
        <w:t>201</w:t>
      </w:r>
      <w:r w:rsidR="00DB4041">
        <w:rPr>
          <w:rFonts w:ascii="Arial" w:hAnsi="Arial" w:cs="Arial"/>
          <w:b/>
          <w:sz w:val="22"/>
          <w:szCs w:val="22"/>
        </w:rPr>
        <w:t>5</w:t>
      </w:r>
      <w:r w:rsidR="0062717B" w:rsidRPr="0062717B">
        <w:rPr>
          <w:rFonts w:ascii="Arial" w:hAnsi="Arial" w:cs="Arial"/>
          <w:b/>
          <w:sz w:val="22"/>
          <w:szCs w:val="22"/>
        </w:rPr>
        <w:t>/1</w:t>
      </w:r>
      <w:r w:rsidR="00DB4041">
        <w:rPr>
          <w:rFonts w:ascii="Arial" w:hAnsi="Arial" w:cs="Arial"/>
          <w:b/>
          <w:sz w:val="22"/>
          <w:szCs w:val="22"/>
        </w:rPr>
        <w:t>6</w:t>
      </w:r>
      <w:r w:rsidR="0062717B" w:rsidRPr="0062717B">
        <w:rPr>
          <w:rFonts w:ascii="Arial" w:hAnsi="Arial" w:cs="Arial"/>
          <w:b/>
          <w:sz w:val="22"/>
          <w:szCs w:val="22"/>
        </w:rPr>
        <w:t xml:space="preserve"> </w:t>
      </w:r>
      <w:r w:rsidR="00DB4041">
        <w:rPr>
          <w:rFonts w:ascii="Arial" w:hAnsi="Arial" w:cs="Arial"/>
          <w:b/>
          <w:sz w:val="22"/>
          <w:szCs w:val="22"/>
        </w:rPr>
        <w:t>Provincial</w:t>
      </w:r>
      <w:r w:rsidR="0062717B" w:rsidRPr="0062717B">
        <w:rPr>
          <w:rFonts w:ascii="Arial" w:hAnsi="Arial" w:cs="Arial"/>
          <w:b/>
          <w:sz w:val="22"/>
          <w:szCs w:val="22"/>
        </w:rPr>
        <w:t xml:space="preserve"> </w:t>
      </w:r>
      <w:r w:rsidR="00005162" w:rsidRPr="0062717B">
        <w:rPr>
          <w:rFonts w:ascii="Arial" w:hAnsi="Arial" w:cs="Arial"/>
          <w:b/>
          <w:sz w:val="22"/>
          <w:szCs w:val="22"/>
        </w:rPr>
        <w:t>Grants</w:t>
      </w:r>
      <w:r w:rsidR="00A27843">
        <w:rPr>
          <w:rFonts w:ascii="Arial" w:hAnsi="Arial" w:cs="Arial"/>
          <w:b/>
          <w:sz w:val="22"/>
          <w:szCs w:val="22"/>
        </w:rPr>
        <w:t xml:space="preserve"> </w:t>
      </w:r>
    </w:p>
    <w:p w:rsidR="00566101" w:rsidRPr="0062717B" w:rsidRDefault="00566101" w:rsidP="007A78C0">
      <w:pPr>
        <w:tabs>
          <w:tab w:val="left" w:pos="432"/>
          <w:tab w:val="left" w:pos="864"/>
        </w:tabs>
        <w:spacing w:line="360" w:lineRule="auto"/>
        <w:rPr>
          <w:rFonts w:ascii="Arial" w:eastAsia="Calibri" w:hAnsi="Arial" w:cs="Arial"/>
          <w:b/>
          <w:sz w:val="22"/>
          <w:szCs w:val="22"/>
          <w:lang w:val="en-ZA"/>
        </w:rPr>
      </w:pPr>
    </w:p>
    <w:p w:rsidR="00FA50FB" w:rsidRDefault="00DB4041" w:rsidP="00F715A3">
      <w:pPr>
        <w:tabs>
          <w:tab w:val="left" w:pos="432"/>
          <w:tab w:val="left" w:pos="864"/>
        </w:tabs>
        <w:spacing w:line="360" w:lineRule="auto"/>
        <w:jc w:val="both"/>
        <w:rPr>
          <w:rFonts w:ascii="Arial" w:hAnsi="Arial" w:cs="Arial"/>
          <w:sz w:val="22"/>
          <w:szCs w:val="22"/>
        </w:rPr>
      </w:pPr>
      <w:r>
        <w:rPr>
          <w:rFonts w:ascii="Arial" w:hAnsi="Arial" w:cs="Arial"/>
          <w:sz w:val="22"/>
          <w:szCs w:val="22"/>
        </w:rPr>
        <w:t>In 2015</w:t>
      </w:r>
      <w:r w:rsidR="0062717B">
        <w:rPr>
          <w:rFonts w:ascii="Arial" w:hAnsi="Arial" w:cs="Arial"/>
          <w:sz w:val="22"/>
          <w:szCs w:val="22"/>
        </w:rPr>
        <w:t>/1</w:t>
      </w:r>
      <w:r>
        <w:rPr>
          <w:rFonts w:ascii="Arial" w:hAnsi="Arial" w:cs="Arial"/>
          <w:sz w:val="22"/>
          <w:szCs w:val="22"/>
        </w:rPr>
        <w:t>6</w:t>
      </w:r>
      <w:r w:rsidR="0062717B">
        <w:rPr>
          <w:rFonts w:ascii="Arial" w:hAnsi="Arial" w:cs="Arial"/>
          <w:sz w:val="22"/>
          <w:szCs w:val="22"/>
        </w:rPr>
        <w:t xml:space="preserve"> </w:t>
      </w:r>
      <w:r>
        <w:rPr>
          <w:rFonts w:ascii="Arial" w:hAnsi="Arial" w:cs="Arial"/>
          <w:sz w:val="22"/>
          <w:szCs w:val="22"/>
        </w:rPr>
        <w:t>Provinces</w:t>
      </w:r>
      <w:r w:rsidR="0062717B">
        <w:rPr>
          <w:rFonts w:ascii="Arial" w:hAnsi="Arial" w:cs="Arial"/>
          <w:sz w:val="22"/>
          <w:szCs w:val="22"/>
        </w:rPr>
        <w:t xml:space="preserve"> were allocated R</w:t>
      </w:r>
      <w:r>
        <w:rPr>
          <w:rFonts w:ascii="Arial" w:hAnsi="Arial" w:cs="Arial"/>
          <w:sz w:val="22"/>
          <w:szCs w:val="22"/>
        </w:rPr>
        <w:t>85.3</w:t>
      </w:r>
      <w:r w:rsidR="0062717B">
        <w:rPr>
          <w:rFonts w:ascii="Arial" w:hAnsi="Arial" w:cs="Arial"/>
          <w:sz w:val="22"/>
          <w:szCs w:val="22"/>
        </w:rPr>
        <w:t xml:space="preserve"> billion in various conditional grants</w:t>
      </w:r>
      <w:r>
        <w:rPr>
          <w:rFonts w:ascii="Arial" w:hAnsi="Arial" w:cs="Arial"/>
          <w:sz w:val="22"/>
          <w:szCs w:val="22"/>
        </w:rPr>
        <w:t xml:space="preserve">, of which, R276 million </w:t>
      </w:r>
      <w:r w:rsidR="0062717B">
        <w:rPr>
          <w:rFonts w:ascii="Arial" w:hAnsi="Arial" w:cs="Arial"/>
          <w:sz w:val="22"/>
          <w:szCs w:val="22"/>
        </w:rPr>
        <w:t>was</w:t>
      </w:r>
      <w:r>
        <w:rPr>
          <w:rFonts w:ascii="Arial" w:hAnsi="Arial" w:cs="Arial"/>
          <w:sz w:val="22"/>
          <w:szCs w:val="22"/>
        </w:rPr>
        <w:t xml:space="preserve"> not transferred</w:t>
      </w:r>
      <w:r w:rsidR="0062717B">
        <w:rPr>
          <w:rFonts w:ascii="Arial" w:hAnsi="Arial" w:cs="Arial"/>
          <w:sz w:val="22"/>
          <w:szCs w:val="22"/>
        </w:rPr>
        <w:t xml:space="preserve"> to </w:t>
      </w:r>
      <w:r>
        <w:rPr>
          <w:rFonts w:ascii="Arial" w:hAnsi="Arial" w:cs="Arial"/>
          <w:sz w:val="22"/>
          <w:szCs w:val="22"/>
        </w:rPr>
        <w:t>provinces</w:t>
      </w:r>
      <w:r w:rsidR="0062717B">
        <w:rPr>
          <w:rFonts w:ascii="Arial" w:hAnsi="Arial" w:cs="Arial"/>
          <w:sz w:val="22"/>
          <w:szCs w:val="22"/>
        </w:rPr>
        <w:t>.</w:t>
      </w:r>
      <w:r w:rsidR="009F2646">
        <w:rPr>
          <w:rFonts w:ascii="Arial" w:hAnsi="Arial" w:cs="Arial"/>
          <w:sz w:val="22"/>
          <w:szCs w:val="22"/>
        </w:rPr>
        <w:t xml:space="preserve"> Of the total of R86.6 available to provinces (including roll overs) provinces spent R85.3 billion resulting in an underspending of R1.3 billion.</w:t>
      </w:r>
    </w:p>
    <w:p w:rsidR="00FA50FB" w:rsidRDefault="00FA50FB" w:rsidP="00F715A3">
      <w:pPr>
        <w:tabs>
          <w:tab w:val="left" w:pos="432"/>
          <w:tab w:val="left" w:pos="864"/>
        </w:tabs>
        <w:spacing w:line="360" w:lineRule="auto"/>
        <w:jc w:val="both"/>
        <w:rPr>
          <w:rFonts w:ascii="Arial" w:hAnsi="Arial" w:cs="Arial"/>
          <w:sz w:val="22"/>
          <w:szCs w:val="22"/>
        </w:rPr>
      </w:pPr>
    </w:p>
    <w:p w:rsidR="00566101" w:rsidRDefault="009F2646" w:rsidP="00F715A3">
      <w:pPr>
        <w:tabs>
          <w:tab w:val="left" w:pos="432"/>
          <w:tab w:val="left" w:pos="864"/>
        </w:tabs>
        <w:spacing w:line="360" w:lineRule="auto"/>
        <w:jc w:val="both"/>
        <w:rPr>
          <w:rFonts w:ascii="Arial" w:hAnsi="Arial" w:cs="Arial"/>
          <w:sz w:val="22"/>
          <w:szCs w:val="22"/>
        </w:rPr>
      </w:pPr>
      <w:r>
        <w:rPr>
          <w:rFonts w:ascii="Arial" w:hAnsi="Arial" w:cs="Arial"/>
          <w:sz w:val="22"/>
          <w:szCs w:val="22"/>
        </w:rPr>
        <w:t>Roll overs amounting to R1.04 billion w</w:t>
      </w:r>
      <w:r w:rsidR="005419FC">
        <w:rPr>
          <w:rFonts w:ascii="Arial" w:hAnsi="Arial" w:cs="Arial"/>
          <w:sz w:val="22"/>
          <w:szCs w:val="22"/>
        </w:rPr>
        <w:t>ere</w:t>
      </w:r>
      <w:r>
        <w:rPr>
          <w:rFonts w:ascii="Arial" w:hAnsi="Arial" w:cs="Arial"/>
          <w:sz w:val="22"/>
          <w:szCs w:val="22"/>
        </w:rPr>
        <w:t xml:space="preserve"> approved and provinces surrendered </w:t>
      </w:r>
      <w:r w:rsidR="00FA50FB">
        <w:rPr>
          <w:rFonts w:ascii="Arial" w:hAnsi="Arial" w:cs="Arial"/>
          <w:sz w:val="22"/>
          <w:szCs w:val="22"/>
        </w:rPr>
        <w:t xml:space="preserve">R508 million, which was made up of unapproved roll-overs and unspent amounts that were not requested, back to the National Revenue Fund. </w:t>
      </w:r>
    </w:p>
    <w:p w:rsidR="006009D1" w:rsidRDefault="006009D1" w:rsidP="00F715A3">
      <w:pPr>
        <w:tabs>
          <w:tab w:val="left" w:pos="432"/>
          <w:tab w:val="left" w:pos="864"/>
        </w:tabs>
        <w:spacing w:line="360" w:lineRule="auto"/>
        <w:jc w:val="both"/>
        <w:rPr>
          <w:rFonts w:ascii="Arial" w:hAnsi="Arial" w:cs="Arial"/>
          <w:sz w:val="22"/>
          <w:szCs w:val="22"/>
        </w:rPr>
      </w:pPr>
    </w:p>
    <w:p w:rsidR="00F715A3" w:rsidRDefault="00692F45" w:rsidP="00F715A3">
      <w:pPr>
        <w:tabs>
          <w:tab w:val="left" w:pos="432"/>
          <w:tab w:val="left" w:pos="864"/>
        </w:tabs>
        <w:spacing w:line="360" w:lineRule="auto"/>
        <w:jc w:val="both"/>
        <w:rPr>
          <w:rFonts w:ascii="Arial" w:hAnsi="Arial" w:cs="Arial"/>
          <w:sz w:val="22"/>
          <w:szCs w:val="22"/>
        </w:rPr>
      </w:pPr>
      <w:r>
        <w:rPr>
          <w:rFonts w:ascii="Arial" w:hAnsi="Arial" w:cs="Arial"/>
          <w:sz w:val="22"/>
          <w:szCs w:val="22"/>
        </w:rPr>
        <w:t xml:space="preserve">Under spending occurred mainly on infrastructure related components of the grants including the building of libraries, the Education Infrastructure Grant, the Health Revitalisation Grant and the Human Settlements Development Grant. </w:t>
      </w:r>
      <w:r w:rsidR="0062717B">
        <w:rPr>
          <w:rFonts w:ascii="Arial" w:hAnsi="Arial" w:cs="Arial"/>
          <w:sz w:val="22"/>
          <w:szCs w:val="22"/>
        </w:rPr>
        <w:t xml:space="preserve">The reasons for </w:t>
      </w:r>
      <w:r w:rsidR="00F715A3">
        <w:rPr>
          <w:rFonts w:ascii="Arial" w:hAnsi="Arial" w:cs="Arial"/>
          <w:sz w:val="22"/>
          <w:szCs w:val="22"/>
        </w:rPr>
        <w:t>under expenditure</w:t>
      </w:r>
      <w:r w:rsidR="0062717B">
        <w:rPr>
          <w:rFonts w:ascii="Arial" w:hAnsi="Arial" w:cs="Arial"/>
          <w:sz w:val="22"/>
          <w:szCs w:val="22"/>
        </w:rPr>
        <w:t xml:space="preserve"> </w:t>
      </w:r>
      <w:r>
        <w:rPr>
          <w:rFonts w:ascii="Arial" w:hAnsi="Arial" w:cs="Arial"/>
          <w:sz w:val="22"/>
          <w:szCs w:val="22"/>
        </w:rPr>
        <w:t>include</w:t>
      </w:r>
      <w:r w:rsidR="005419FC">
        <w:rPr>
          <w:rFonts w:ascii="Arial" w:hAnsi="Arial" w:cs="Arial"/>
          <w:sz w:val="22"/>
          <w:szCs w:val="22"/>
        </w:rPr>
        <w:t>s</w:t>
      </w:r>
      <w:r w:rsidR="0062717B">
        <w:rPr>
          <w:rFonts w:ascii="Arial" w:hAnsi="Arial" w:cs="Arial"/>
          <w:sz w:val="22"/>
          <w:szCs w:val="22"/>
        </w:rPr>
        <w:t xml:space="preserve">, </w:t>
      </w:r>
      <w:r w:rsidR="00F715A3">
        <w:rPr>
          <w:rFonts w:ascii="Arial" w:hAnsi="Arial" w:cs="Arial"/>
          <w:sz w:val="22"/>
          <w:szCs w:val="22"/>
        </w:rPr>
        <w:t xml:space="preserve">capacity constraints, </w:t>
      </w:r>
      <w:r w:rsidR="0062717B">
        <w:rPr>
          <w:rFonts w:ascii="Arial" w:hAnsi="Arial" w:cs="Arial"/>
          <w:sz w:val="22"/>
          <w:szCs w:val="22"/>
        </w:rPr>
        <w:t>poor planning</w:t>
      </w:r>
      <w:r w:rsidR="005419FC">
        <w:rPr>
          <w:rFonts w:ascii="Arial" w:hAnsi="Arial" w:cs="Arial"/>
          <w:sz w:val="22"/>
          <w:szCs w:val="22"/>
        </w:rPr>
        <w:t xml:space="preserve"> and execution, </w:t>
      </w:r>
      <w:r>
        <w:rPr>
          <w:rFonts w:ascii="Arial" w:hAnsi="Arial" w:cs="Arial"/>
          <w:sz w:val="22"/>
          <w:szCs w:val="22"/>
        </w:rPr>
        <w:t>poor workmanship resulting in cost increases and weak overall project management.</w:t>
      </w:r>
    </w:p>
    <w:p w:rsidR="00692F45" w:rsidRDefault="00692F45" w:rsidP="00F715A3">
      <w:pPr>
        <w:tabs>
          <w:tab w:val="left" w:pos="432"/>
          <w:tab w:val="left" w:pos="864"/>
        </w:tabs>
        <w:spacing w:line="360" w:lineRule="auto"/>
        <w:jc w:val="both"/>
        <w:rPr>
          <w:rFonts w:ascii="Arial" w:hAnsi="Arial" w:cs="Arial"/>
          <w:sz w:val="22"/>
          <w:szCs w:val="22"/>
        </w:rPr>
      </w:pPr>
    </w:p>
    <w:p w:rsidR="00005162" w:rsidRPr="005C510D" w:rsidRDefault="00F715A3" w:rsidP="00005162">
      <w:pPr>
        <w:tabs>
          <w:tab w:val="left" w:pos="432"/>
          <w:tab w:val="left" w:pos="864"/>
        </w:tabs>
        <w:spacing w:line="360" w:lineRule="auto"/>
        <w:rPr>
          <w:rFonts w:ascii="Arial" w:hAnsi="Arial" w:cs="Arial"/>
          <w:b/>
          <w:sz w:val="22"/>
          <w:szCs w:val="22"/>
        </w:rPr>
      </w:pPr>
      <w:r w:rsidRPr="005C510D">
        <w:rPr>
          <w:rFonts w:ascii="Arial" w:hAnsi="Arial" w:cs="Arial"/>
          <w:sz w:val="22"/>
          <w:szCs w:val="22"/>
        </w:rPr>
        <w:t xml:space="preserve">The detailed information </w:t>
      </w:r>
      <w:r w:rsidR="005419FC">
        <w:rPr>
          <w:rFonts w:ascii="Arial" w:hAnsi="Arial" w:cs="Arial"/>
          <w:sz w:val="22"/>
          <w:szCs w:val="22"/>
        </w:rPr>
        <w:t xml:space="preserve">on the </w:t>
      </w:r>
      <w:r w:rsidR="006009D1" w:rsidRPr="005C510D">
        <w:rPr>
          <w:rFonts w:ascii="Arial" w:hAnsi="Arial" w:cs="Arial"/>
          <w:sz w:val="22"/>
          <w:szCs w:val="22"/>
        </w:rPr>
        <w:t>201</w:t>
      </w:r>
      <w:r w:rsidR="005C510D" w:rsidRPr="005C510D">
        <w:rPr>
          <w:rFonts w:ascii="Arial" w:hAnsi="Arial" w:cs="Arial"/>
          <w:sz w:val="22"/>
          <w:szCs w:val="22"/>
        </w:rPr>
        <w:t>5</w:t>
      </w:r>
      <w:r w:rsidR="006009D1" w:rsidRPr="005C510D">
        <w:rPr>
          <w:rFonts w:ascii="Arial" w:hAnsi="Arial" w:cs="Arial"/>
          <w:sz w:val="22"/>
          <w:szCs w:val="22"/>
        </w:rPr>
        <w:t>/1</w:t>
      </w:r>
      <w:r w:rsidR="00692F45" w:rsidRPr="005C510D">
        <w:rPr>
          <w:rFonts w:ascii="Arial" w:hAnsi="Arial" w:cs="Arial"/>
          <w:sz w:val="22"/>
          <w:szCs w:val="22"/>
        </w:rPr>
        <w:t>6</w:t>
      </w:r>
      <w:r w:rsidR="006009D1" w:rsidRPr="005C510D">
        <w:rPr>
          <w:rFonts w:ascii="Arial" w:hAnsi="Arial" w:cs="Arial"/>
          <w:sz w:val="22"/>
          <w:szCs w:val="22"/>
        </w:rPr>
        <w:t xml:space="preserve"> </w:t>
      </w:r>
      <w:r w:rsidRPr="005C510D">
        <w:rPr>
          <w:rFonts w:ascii="Arial" w:hAnsi="Arial" w:cs="Arial"/>
          <w:sz w:val="22"/>
          <w:szCs w:val="22"/>
        </w:rPr>
        <w:t xml:space="preserve">allocations, roll-overs and unspent amounts per grant are in the </w:t>
      </w:r>
      <w:r w:rsidR="00005162" w:rsidRPr="005C510D">
        <w:rPr>
          <w:rFonts w:ascii="Arial" w:hAnsi="Arial" w:cs="Arial"/>
          <w:sz w:val="22"/>
          <w:szCs w:val="22"/>
        </w:rPr>
        <w:t xml:space="preserve">following </w:t>
      </w:r>
      <w:r w:rsidRPr="005C510D">
        <w:rPr>
          <w:rFonts w:ascii="Arial" w:hAnsi="Arial" w:cs="Arial"/>
          <w:sz w:val="22"/>
          <w:szCs w:val="22"/>
        </w:rPr>
        <w:t>annexures</w:t>
      </w:r>
      <w:r w:rsidR="00005162" w:rsidRPr="005C510D">
        <w:rPr>
          <w:rFonts w:ascii="Arial" w:hAnsi="Arial" w:cs="Arial"/>
          <w:sz w:val="22"/>
          <w:szCs w:val="22"/>
        </w:rPr>
        <w:t>:</w:t>
      </w:r>
    </w:p>
    <w:p w:rsidR="00005162" w:rsidRPr="005C510D" w:rsidRDefault="00005162" w:rsidP="005419FC">
      <w:pPr>
        <w:tabs>
          <w:tab w:val="left" w:pos="864"/>
          <w:tab w:val="left" w:pos="900"/>
        </w:tabs>
        <w:spacing w:line="360" w:lineRule="auto"/>
        <w:ind w:left="900" w:hanging="450"/>
        <w:rPr>
          <w:rFonts w:ascii="Arial" w:hAnsi="Arial" w:cs="Arial"/>
          <w:sz w:val="22"/>
          <w:szCs w:val="22"/>
        </w:rPr>
      </w:pPr>
      <w:r w:rsidRPr="005C510D">
        <w:rPr>
          <w:rFonts w:ascii="Arial" w:hAnsi="Arial" w:cs="Arial"/>
          <w:sz w:val="22"/>
          <w:szCs w:val="22"/>
        </w:rPr>
        <w:t xml:space="preserve">Annexure </w:t>
      </w:r>
      <w:r w:rsidR="005C510D" w:rsidRPr="005C510D">
        <w:rPr>
          <w:rFonts w:ascii="Arial" w:hAnsi="Arial" w:cs="Arial"/>
          <w:sz w:val="22"/>
          <w:szCs w:val="22"/>
        </w:rPr>
        <w:t>AP</w:t>
      </w:r>
      <w:r w:rsidRPr="005C510D">
        <w:rPr>
          <w:rFonts w:ascii="Arial" w:hAnsi="Arial" w:cs="Arial"/>
          <w:sz w:val="22"/>
          <w:szCs w:val="22"/>
        </w:rPr>
        <w:t xml:space="preserve"> - (</w:t>
      </w:r>
      <w:r w:rsidR="005C510D" w:rsidRPr="005C510D">
        <w:rPr>
          <w:rFonts w:ascii="Arial" w:hAnsi="Arial" w:cs="Arial"/>
          <w:sz w:val="22"/>
          <w:szCs w:val="22"/>
        </w:rPr>
        <w:t>a) (</w:t>
      </w:r>
      <w:r w:rsidRPr="005C510D">
        <w:rPr>
          <w:rFonts w:ascii="Arial" w:hAnsi="Arial" w:cs="Arial"/>
          <w:sz w:val="22"/>
          <w:szCs w:val="22"/>
        </w:rPr>
        <w:t>i) expenditure and underspending</w:t>
      </w:r>
    </w:p>
    <w:p w:rsidR="00005162" w:rsidRPr="005C510D" w:rsidRDefault="00005162" w:rsidP="005419FC">
      <w:pPr>
        <w:tabs>
          <w:tab w:val="left" w:pos="864"/>
          <w:tab w:val="left" w:pos="900"/>
        </w:tabs>
        <w:spacing w:line="360" w:lineRule="auto"/>
        <w:ind w:left="900" w:hanging="450"/>
        <w:rPr>
          <w:rFonts w:ascii="Arial" w:hAnsi="Arial" w:cs="Arial"/>
          <w:sz w:val="22"/>
          <w:szCs w:val="22"/>
        </w:rPr>
      </w:pPr>
      <w:r w:rsidRPr="005C510D">
        <w:rPr>
          <w:rFonts w:ascii="Arial" w:hAnsi="Arial" w:cs="Arial"/>
          <w:sz w:val="22"/>
          <w:szCs w:val="22"/>
        </w:rPr>
        <w:lastRenderedPageBreak/>
        <w:t xml:space="preserve">Annexure </w:t>
      </w:r>
      <w:r w:rsidR="005C510D" w:rsidRPr="005C510D">
        <w:rPr>
          <w:rFonts w:ascii="Arial" w:hAnsi="Arial" w:cs="Arial"/>
          <w:sz w:val="22"/>
          <w:szCs w:val="22"/>
        </w:rPr>
        <w:t>AP</w:t>
      </w:r>
      <w:r w:rsidRPr="005C510D">
        <w:rPr>
          <w:rFonts w:ascii="Arial" w:hAnsi="Arial" w:cs="Arial"/>
          <w:sz w:val="22"/>
          <w:szCs w:val="22"/>
        </w:rPr>
        <w:t xml:space="preserve"> – (aa) transfers</w:t>
      </w:r>
    </w:p>
    <w:p w:rsidR="00005162" w:rsidRPr="005C510D" w:rsidRDefault="00005162" w:rsidP="005419FC">
      <w:pPr>
        <w:tabs>
          <w:tab w:val="left" w:pos="864"/>
          <w:tab w:val="left" w:pos="900"/>
        </w:tabs>
        <w:spacing w:line="360" w:lineRule="auto"/>
        <w:ind w:left="900" w:hanging="450"/>
        <w:rPr>
          <w:rFonts w:ascii="Arial" w:hAnsi="Arial" w:cs="Arial"/>
          <w:sz w:val="22"/>
          <w:szCs w:val="22"/>
        </w:rPr>
      </w:pPr>
      <w:r w:rsidRPr="005C510D">
        <w:rPr>
          <w:rFonts w:ascii="Arial" w:hAnsi="Arial" w:cs="Arial"/>
          <w:sz w:val="22"/>
          <w:szCs w:val="22"/>
        </w:rPr>
        <w:t xml:space="preserve">Annexure </w:t>
      </w:r>
      <w:r w:rsidR="005C510D" w:rsidRPr="005C510D">
        <w:rPr>
          <w:rFonts w:ascii="Arial" w:hAnsi="Arial" w:cs="Arial"/>
          <w:sz w:val="22"/>
          <w:szCs w:val="22"/>
        </w:rPr>
        <w:t>BP</w:t>
      </w:r>
      <w:r w:rsidRPr="005C510D">
        <w:rPr>
          <w:rFonts w:ascii="Arial" w:hAnsi="Arial" w:cs="Arial"/>
          <w:sz w:val="22"/>
          <w:szCs w:val="22"/>
        </w:rPr>
        <w:t xml:space="preserve"> – (bb) surrendered to NRF</w:t>
      </w:r>
    </w:p>
    <w:p w:rsidR="00005162" w:rsidRPr="005C510D" w:rsidRDefault="00005162" w:rsidP="005419FC">
      <w:pPr>
        <w:tabs>
          <w:tab w:val="left" w:pos="864"/>
          <w:tab w:val="left" w:pos="900"/>
        </w:tabs>
        <w:spacing w:line="360" w:lineRule="auto"/>
        <w:ind w:left="900" w:hanging="450"/>
        <w:rPr>
          <w:rFonts w:ascii="Arial" w:hAnsi="Arial" w:cs="Arial"/>
          <w:sz w:val="22"/>
          <w:szCs w:val="22"/>
        </w:rPr>
      </w:pPr>
      <w:r w:rsidRPr="005C510D">
        <w:rPr>
          <w:rFonts w:ascii="Arial" w:hAnsi="Arial" w:cs="Arial"/>
          <w:sz w:val="22"/>
          <w:szCs w:val="22"/>
        </w:rPr>
        <w:t>Annexure B</w:t>
      </w:r>
      <w:r w:rsidR="005C510D" w:rsidRPr="005C510D">
        <w:rPr>
          <w:rFonts w:ascii="Arial" w:hAnsi="Arial" w:cs="Arial"/>
          <w:sz w:val="22"/>
          <w:szCs w:val="22"/>
        </w:rPr>
        <w:t>P</w:t>
      </w:r>
      <w:r w:rsidRPr="005C510D">
        <w:rPr>
          <w:rFonts w:ascii="Arial" w:hAnsi="Arial" w:cs="Arial"/>
          <w:sz w:val="22"/>
          <w:szCs w:val="22"/>
        </w:rPr>
        <w:t xml:space="preserve"> – (cc) roll-overs</w:t>
      </w:r>
    </w:p>
    <w:p w:rsidR="00005162" w:rsidRPr="005C510D" w:rsidRDefault="00005162" w:rsidP="005419FC">
      <w:pPr>
        <w:tabs>
          <w:tab w:val="left" w:pos="864"/>
          <w:tab w:val="left" w:pos="900"/>
        </w:tabs>
        <w:spacing w:line="360" w:lineRule="auto"/>
        <w:ind w:left="900" w:hanging="450"/>
        <w:rPr>
          <w:rFonts w:ascii="Arial" w:hAnsi="Arial" w:cs="Arial"/>
          <w:sz w:val="22"/>
          <w:szCs w:val="22"/>
        </w:rPr>
      </w:pPr>
      <w:r w:rsidRPr="005C510D">
        <w:rPr>
          <w:rFonts w:ascii="Arial" w:hAnsi="Arial" w:cs="Arial"/>
          <w:sz w:val="22"/>
          <w:szCs w:val="22"/>
        </w:rPr>
        <w:t xml:space="preserve">Annexure </w:t>
      </w:r>
      <w:r w:rsidR="005C510D" w:rsidRPr="005C510D">
        <w:rPr>
          <w:rFonts w:ascii="Arial" w:hAnsi="Arial" w:cs="Arial"/>
          <w:sz w:val="22"/>
          <w:szCs w:val="22"/>
        </w:rPr>
        <w:t>AP</w:t>
      </w:r>
      <w:r w:rsidRPr="005C510D">
        <w:rPr>
          <w:rFonts w:ascii="Arial" w:hAnsi="Arial" w:cs="Arial"/>
          <w:sz w:val="22"/>
          <w:szCs w:val="22"/>
        </w:rPr>
        <w:t xml:space="preserve"> - (</w:t>
      </w:r>
      <w:r w:rsidR="005C510D" w:rsidRPr="005C510D">
        <w:rPr>
          <w:rFonts w:ascii="Arial" w:hAnsi="Arial" w:cs="Arial"/>
          <w:sz w:val="22"/>
          <w:szCs w:val="22"/>
        </w:rPr>
        <w:t>a) (</w:t>
      </w:r>
      <w:r w:rsidRPr="005C510D">
        <w:rPr>
          <w:rFonts w:ascii="Arial" w:hAnsi="Arial" w:cs="Arial"/>
          <w:sz w:val="22"/>
          <w:szCs w:val="22"/>
        </w:rPr>
        <w:t>iii) actual expenditure per each grant</w:t>
      </w:r>
    </w:p>
    <w:p w:rsidR="00F715A3" w:rsidRPr="00005162" w:rsidRDefault="00005162" w:rsidP="005419FC">
      <w:pPr>
        <w:tabs>
          <w:tab w:val="left" w:pos="864"/>
          <w:tab w:val="left" w:pos="900"/>
        </w:tabs>
        <w:spacing w:line="360" w:lineRule="auto"/>
        <w:ind w:left="900" w:hanging="450"/>
        <w:jc w:val="both"/>
        <w:rPr>
          <w:rFonts w:ascii="Arial" w:hAnsi="Arial" w:cs="Arial"/>
          <w:sz w:val="22"/>
          <w:szCs w:val="22"/>
        </w:rPr>
      </w:pPr>
      <w:r w:rsidRPr="005C510D">
        <w:rPr>
          <w:rFonts w:ascii="Arial" w:hAnsi="Arial" w:cs="Arial"/>
          <w:sz w:val="22"/>
          <w:szCs w:val="22"/>
        </w:rPr>
        <w:t>Annexure A</w:t>
      </w:r>
      <w:r w:rsidR="005C510D" w:rsidRPr="005C510D">
        <w:rPr>
          <w:rFonts w:ascii="Arial" w:hAnsi="Arial" w:cs="Arial"/>
          <w:sz w:val="22"/>
          <w:szCs w:val="22"/>
        </w:rPr>
        <w:t>P</w:t>
      </w:r>
      <w:r w:rsidRPr="005C510D">
        <w:rPr>
          <w:rFonts w:ascii="Arial" w:hAnsi="Arial" w:cs="Arial"/>
          <w:sz w:val="22"/>
          <w:szCs w:val="22"/>
        </w:rPr>
        <w:t xml:space="preserve"> - (</w:t>
      </w:r>
      <w:r w:rsidR="005C510D" w:rsidRPr="005C510D">
        <w:rPr>
          <w:rFonts w:ascii="Arial" w:hAnsi="Arial" w:cs="Arial"/>
          <w:sz w:val="22"/>
          <w:szCs w:val="22"/>
        </w:rPr>
        <w:t>a</w:t>
      </w:r>
      <w:r w:rsidRPr="005C510D">
        <w:rPr>
          <w:rFonts w:ascii="Arial" w:hAnsi="Arial" w:cs="Arial"/>
          <w:sz w:val="22"/>
          <w:szCs w:val="22"/>
        </w:rPr>
        <w:t>) (iv) allocations</w:t>
      </w:r>
    </w:p>
    <w:p w:rsidR="00566101" w:rsidRDefault="00566101" w:rsidP="007A78C0">
      <w:pPr>
        <w:tabs>
          <w:tab w:val="left" w:pos="432"/>
          <w:tab w:val="left" w:pos="864"/>
        </w:tabs>
        <w:spacing w:line="360" w:lineRule="auto"/>
        <w:rPr>
          <w:rFonts w:ascii="Arial" w:hAnsi="Arial" w:cs="Arial"/>
          <w:b/>
          <w:sz w:val="22"/>
          <w:szCs w:val="22"/>
          <w:u w:val="single"/>
        </w:rPr>
      </w:pPr>
    </w:p>
    <w:p w:rsidR="00A27843" w:rsidRPr="00171BDC" w:rsidRDefault="005419FC" w:rsidP="005419FC">
      <w:pPr>
        <w:tabs>
          <w:tab w:val="left" w:pos="432"/>
          <w:tab w:val="left" w:pos="864"/>
        </w:tabs>
        <w:spacing w:line="360" w:lineRule="auto"/>
        <w:jc w:val="both"/>
        <w:rPr>
          <w:rFonts w:ascii="Arial" w:hAnsi="Arial" w:cs="Arial"/>
          <w:sz w:val="22"/>
          <w:szCs w:val="22"/>
        </w:rPr>
      </w:pPr>
      <w:r>
        <w:rPr>
          <w:rFonts w:ascii="Arial" w:hAnsi="Arial" w:cs="Arial"/>
          <w:sz w:val="22"/>
          <w:szCs w:val="22"/>
        </w:rPr>
        <w:t>[</w:t>
      </w:r>
      <w:r w:rsidR="00A27843">
        <w:rPr>
          <w:rFonts w:ascii="Arial" w:hAnsi="Arial" w:cs="Arial"/>
          <w:sz w:val="22"/>
          <w:szCs w:val="22"/>
        </w:rPr>
        <w:t>(a</w:t>
      </w:r>
      <w:r>
        <w:rPr>
          <w:rFonts w:ascii="Arial" w:hAnsi="Arial" w:cs="Arial"/>
          <w:sz w:val="22"/>
          <w:szCs w:val="22"/>
        </w:rPr>
        <w:t>)(i), (aa), (bb), (cc)</w:t>
      </w:r>
      <w:r w:rsidR="00A27843" w:rsidRPr="00171BDC">
        <w:rPr>
          <w:rFonts w:ascii="Arial" w:hAnsi="Arial" w:cs="Arial"/>
          <w:sz w:val="22"/>
          <w:szCs w:val="22"/>
        </w:rPr>
        <w:t>(ii)(iii) and (iv)</w:t>
      </w:r>
      <w:r>
        <w:rPr>
          <w:rFonts w:ascii="Arial" w:hAnsi="Arial" w:cs="Arial"/>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2717B">
        <w:rPr>
          <w:rFonts w:ascii="Arial" w:hAnsi="Arial" w:cs="Arial"/>
          <w:b/>
          <w:sz w:val="22"/>
          <w:szCs w:val="22"/>
        </w:rPr>
        <w:t>201</w:t>
      </w:r>
      <w:r>
        <w:rPr>
          <w:rFonts w:ascii="Arial" w:hAnsi="Arial" w:cs="Arial"/>
          <w:b/>
          <w:sz w:val="22"/>
          <w:szCs w:val="22"/>
        </w:rPr>
        <w:t>6</w:t>
      </w:r>
      <w:r w:rsidRPr="0062717B">
        <w:rPr>
          <w:rFonts w:ascii="Arial" w:hAnsi="Arial" w:cs="Arial"/>
          <w:b/>
          <w:sz w:val="22"/>
          <w:szCs w:val="22"/>
        </w:rPr>
        <w:t>/1</w:t>
      </w:r>
      <w:r>
        <w:rPr>
          <w:rFonts w:ascii="Arial" w:hAnsi="Arial" w:cs="Arial"/>
          <w:b/>
          <w:sz w:val="22"/>
          <w:szCs w:val="22"/>
        </w:rPr>
        <w:t>7</w:t>
      </w:r>
      <w:r w:rsidRPr="0062717B">
        <w:rPr>
          <w:rFonts w:ascii="Arial" w:hAnsi="Arial" w:cs="Arial"/>
          <w:b/>
          <w:sz w:val="22"/>
          <w:szCs w:val="22"/>
        </w:rPr>
        <w:t xml:space="preserve"> </w:t>
      </w:r>
      <w:r w:rsidRPr="00692F45">
        <w:rPr>
          <w:rFonts w:ascii="Arial" w:hAnsi="Arial" w:cs="Arial"/>
          <w:b/>
          <w:sz w:val="22"/>
          <w:szCs w:val="22"/>
        </w:rPr>
        <w:t>Provincial Grants</w:t>
      </w:r>
      <w:r>
        <w:rPr>
          <w:rFonts w:ascii="Arial" w:hAnsi="Arial" w:cs="Arial"/>
          <w:b/>
          <w:sz w:val="22"/>
          <w:szCs w:val="22"/>
        </w:rPr>
        <w:t>:</w:t>
      </w:r>
    </w:p>
    <w:p w:rsidR="00005162" w:rsidRPr="0062717B" w:rsidRDefault="00005162" w:rsidP="00005162">
      <w:pPr>
        <w:tabs>
          <w:tab w:val="left" w:pos="432"/>
          <w:tab w:val="left" w:pos="864"/>
        </w:tabs>
        <w:spacing w:line="360" w:lineRule="auto"/>
        <w:rPr>
          <w:rFonts w:ascii="Arial" w:eastAsia="Calibri" w:hAnsi="Arial" w:cs="Arial"/>
          <w:b/>
          <w:sz w:val="22"/>
          <w:szCs w:val="22"/>
          <w:lang w:val="en-ZA"/>
        </w:rPr>
      </w:pPr>
    </w:p>
    <w:p w:rsidR="00692F45" w:rsidRPr="00692F45" w:rsidRDefault="00692F45" w:rsidP="00692F45">
      <w:pPr>
        <w:tabs>
          <w:tab w:val="left" w:pos="432"/>
          <w:tab w:val="left" w:pos="864"/>
        </w:tabs>
        <w:spacing w:line="360" w:lineRule="auto"/>
        <w:jc w:val="both"/>
        <w:rPr>
          <w:rFonts w:ascii="Arial" w:hAnsi="Arial" w:cs="Arial"/>
          <w:sz w:val="22"/>
          <w:szCs w:val="22"/>
        </w:rPr>
      </w:pPr>
      <w:r w:rsidRPr="00692F45">
        <w:rPr>
          <w:rFonts w:ascii="Arial" w:hAnsi="Arial" w:cs="Arial"/>
          <w:sz w:val="22"/>
          <w:szCs w:val="22"/>
        </w:rPr>
        <w:t>In 201</w:t>
      </w:r>
      <w:r>
        <w:rPr>
          <w:rFonts w:ascii="Arial" w:hAnsi="Arial" w:cs="Arial"/>
          <w:sz w:val="22"/>
          <w:szCs w:val="22"/>
        </w:rPr>
        <w:t>6</w:t>
      </w:r>
      <w:r w:rsidRPr="00692F45">
        <w:rPr>
          <w:rFonts w:ascii="Arial" w:hAnsi="Arial" w:cs="Arial"/>
          <w:sz w:val="22"/>
          <w:szCs w:val="22"/>
        </w:rPr>
        <w:t>/1</w:t>
      </w:r>
      <w:r>
        <w:rPr>
          <w:rFonts w:ascii="Arial" w:hAnsi="Arial" w:cs="Arial"/>
          <w:sz w:val="22"/>
          <w:szCs w:val="22"/>
        </w:rPr>
        <w:t>7</w:t>
      </w:r>
      <w:r w:rsidRPr="00692F45">
        <w:rPr>
          <w:rFonts w:ascii="Arial" w:hAnsi="Arial" w:cs="Arial"/>
          <w:sz w:val="22"/>
          <w:szCs w:val="22"/>
        </w:rPr>
        <w:t xml:space="preserve"> Provinces were allocated R</w:t>
      </w:r>
      <w:r>
        <w:rPr>
          <w:rFonts w:ascii="Arial" w:hAnsi="Arial" w:cs="Arial"/>
          <w:sz w:val="22"/>
          <w:szCs w:val="22"/>
        </w:rPr>
        <w:t>89</w:t>
      </w:r>
      <w:r w:rsidRPr="00692F45">
        <w:rPr>
          <w:rFonts w:ascii="Arial" w:hAnsi="Arial" w:cs="Arial"/>
          <w:sz w:val="22"/>
          <w:szCs w:val="22"/>
        </w:rPr>
        <w:t xml:space="preserve"> billion in various conditional grants, of which, R7 million was not transferred to provinces. Of the total of R</w:t>
      </w:r>
      <w:r w:rsidR="00C81C73">
        <w:rPr>
          <w:rFonts w:ascii="Arial" w:hAnsi="Arial" w:cs="Arial"/>
          <w:sz w:val="22"/>
          <w:szCs w:val="22"/>
        </w:rPr>
        <w:t>90.7</w:t>
      </w:r>
      <w:r w:rsidRPr="00692F45">
        <w:rPr>
          <w:rFonts w:ascii="Arial" w:hAnsi="Arial" w:cs="Arial"/>
          <w:sz w:val="22"/>
          <w:szCs w:val="22"/>
        </w:rPr>
        <w:t xml:space="preserve"> available to provinces (including roll overs) provinces spent R8</w:t>
      </w:r>
      <w:r w:rsidR="007146E8">
        <w:rPr>
          <w:rFonts w:ascii="Arial" w:hAnsi="Arial" w:cs="Arial"/>
          <w:sz w:val="22"/>
          <w:szCs w:val="22"/>
        </w:rPr>
        <w:t>8.5</w:t>
      </w:r>
      <w:r w:rsidRPr="00692F45">
        <w:rPr>
          <w:rFonts w:ascii="Arial" w:hAnsi="Arial" w:cs="Arial"/>
          <w:sz w:val="22"/>
          <w:szCs w:val="22"/>
        </w:rPr>
        <w:t xml:space="preserve"> billion resulting in an underspending of R</w:t>
      </w:r>
      <w:r w:rsidR="007146E8">
        <w:rPr>
          <w:rFonts w:ascii="Arial" w:hAnsi="Arial" w:cs="Arial"/>
          <w:sz w:val="22"/>
          <w:szCs w:val="22"/>
        </w:rPr>
        <w:t>2.2</w:t>
      </w:r>
      <w:r w:rsidRPr="00692F45">
        <w:rPr>
          <w:rFonts w:ascii="Arial" w:hAnsi="Arial" w:cs="Arial"/>
          <w:sz w:val="22"/>
          <w:szCs w:val="22"/>
        </w:rPr>
        <w:t xml:space="preserve"> billion.</w:t>
      </w:r>
    </w:p>
    <w:p w:rsidR="00692F45" w:rsidRPr="00692F45" w:rsidRDefault="00692F45" w:rsidP="00692F45">
      <w:pPr>
        <w:tabs>
          <w:tab w:val="left" w:pos="432"/>
          <w:tab w:val="left" w:pos="864"/>
        </w:tabs>
        <w:spacing w:line="360" w:lineRule="auto"/>
        <w:jc w:val="both"/>
        <w:rPr>
          <w:rFonts w:ascii="Arial" w:hAnsi="Arial" w:cs="Arial"/>
          <w:sz w:val="22"/>
          <w:szCs w:val="22"/>
        </w:rPr>
      </w:pPr>
    </w:p>
    <w:p w:rsidR="006009D1" w:rsidRDefault="00692F45" w:rsidP="00692F45">
      <w:pPr>
        <w:tabs>
          <w:tab w:val="left" w:pos="432"/>
          <w:tab w:val="left" w:pos="864"/>
        </w:tabs>
        <w:spacing w:line="360" w:lineRule="auto"/>
        <w:jc w:val="both"/>
        <w:rPr>
          <w:rFonts w:ascii="Arial" w:hAnsi="Arial" w:cs="Arial"/>
          <w:sz w:val="22"/>
          <w:szCs w:val="22"/>
        </w:rPr>
      </w:pPr>
      <w:r w:rsidRPr="00692F45">
        <w:rPr>
          <w:rFonts w:ascii="Arial" w:hAnsi="Arial" w:cs="Arial"/>
          <w:sz w:val="22"/>
          <w:szCs w:val="22"/>
        </w:rPr>
        <w:t>Roll overs amounting to R1.</w:t>
      </w:r>
      <w:r w:rsidR="007146E8">
        <w:rPr>
          <w:rFonts w:ascii="Arial" w:hAnsi="Arial" w:cs="Arial"/>
          <w:sz w:val="22"/>
          <w:szCs w:val="22"/>
        </w:rPr>
        <w:t>4</w:t>
      </w:r>
      <w:r w:rsidRPr="00692F45">
        <w:rPr>
          <w:rFonts w:ascii="Arial" w:hAnsi="Arial" w:cs="Arial"/>
          <w:sz w:val="22"/>
          <w:szCs w:val="22"/>
        </w:rPr>
        <w:t xml:space="preserve"> billion was approved and provinces surrendered R</w:t>
      </w:r>
      <w:r w:rsidR="007146E8">
        <w:rPr>
          <w:rFonts w:ascii="Arial" w:hAnsi="Arial" w:cs="Arial"/>
          <w:sz w:val="22"/>
          <w:szCs w:val="22"/>
        </w:rPr>
        <w:t>417</w:t>
      </w:r>
      <w:r w:rsidRPr="00692F45">
        <w:rPr>
          <w:rFonts w:ascii="Arial" w:hAnsi="Arial" w:cs="Arial"/>
          <w:sz w:val="22"/>
          <w:szCs w:val="22"/>
        </w:rPr>
        <w:t xml:space="preserve"> million, which was made up of unapproved roll-overs and unspent amounts that were not requested, back to the National Revenue Fund.</w:t>
      </w:r>
    </w:p>
    <w:p w:rsidR="00692F45" w:rsidRDefault="00692F45" w:rsidP="00692F45">
      <w:pPr>
        <w:tabs>
          <w:tab w:val="left" w:pos="432"/>
          <w:tab w:val="left" w:pos="864"/>
        </w:tabs>
        <w:spacing w:line="360" w:lineRule="auto"/>
        <w:jc w:val="both"/>
        <w:rPr>
          <w:rFonts w:ascii="Arial" w:hAnsi="Arial" w:cs="Arial"/>
          <w:sz w:val="22"/>
          <w:szCs w:val="22"/>
        </w:rPr>
      </w:pPr>
    </w:p>
    <w:p w:rsidR="00D01C6B" w:rsidRDefault="00D01C6B" w:rsidP="00D01C6B">
      <w:pPr>
        <w:tabs>
          <w:tab w:val="left" w:pos="432"/>
          <w:tab w:val="left" w:pos="864"/>
        </w:tabs>
        <w:spacing w:line="360" w:lineRule="auto"/>
        <w:jc w:val="both"/>
        <w:rPr>
          <w:rFonts w:ascii="Arial" w:hAnsi="Arial" w:cs="Arial"/>
          <w:sz w:val="22"/>
          <w:szCs w:val="22"/>
        </w:rPr>
      </w:pPr>
      <w:r>
        <w:rPr>
          <w:rFonts w:ascii="Arial" w:hAnsi="Arial" w:cs="Arial"/>
          <w:sz w:val="22"/>
          <w:szCs w:val="22"/>
        </w:rPr>
        <w:t>Under spending occurred mainly on infrastructure related components of the grants including the building of libraries, the Education Infrastructure Grant, the Health Revitalisation Grant and the Human Settlements Development Grant. The School Nutrition grant underspent as well due to invoices being submitted late for payments.</w:t>
      </w:r>
      <w:r w:rsidR="005419FC">
        <w:rPr>
          <w:rFonts w:ascii="Arial" w:hAnsi="Arial" w:cs="Arial"/>
          <w:sz w:val="22"/>
          <w:szCs w:val="22"/>
        </w:rPr>
        <w:t xml:space="preserve"> </w:t>
      </w:r>
      <w:r>
        <w:rPr>
          <w:rFonts w:ascii="Arial" w:hAnsi="Arial" w:cs="Arial"/>
          <w:sz w:val="22"/>
          <w:szCs w:val="22"/>
        </w:rPr>
        <w:t>In terms of the infrastructure related grants, the reasons for under expenditure include, capacity constraints, poor planning and execution poor workmanship resulting in cost increases and weak overall project management.</w:t>
      </w:r>
    </w:p>
    <w:p w:rsidR="00F715A3" w:rsidRDefault="00F715A3" w:rsidP="00F715A3">
      <w:pPr>
        <w:tabs>
          <w:tab w:val="left" w:pos="432"/>
          <w:tab w:val="left" w:pos="864"/>
        </w:tabs>
        <w:spacing w:line="360" w:lineRule="auto"/>
        <w:jc w:val="both"/>
        <w:rPr>
          <w:rFonts w:ascii="Arial" w:hAnsi="Arial" w:cs="Arial"/>
          <w:sz w:val="22"/>
          <w:szCs w:val="22"/>
        </w:rPr>
      </w:pPr>
    </w:p>
    <w:p w:rsidR="005C510D" w:rsidRPr="005C510D" w:rsidRDefault="005C510D" w:rsidP="005C510D">
      <w:pPr>
        <w:tabs>
          <w:tab w:val="left" w:pos="432"/>
          <w:tab w:val="left" w:pos="864"/>
        </w:tabs>
        <w:spacing w:line="360" w:lineRule="auto"/>
        <w:jc w:val="both"/>
        <w:rPr>
          <w:rFonts w:ascii="Arial" w:hAnsi="Arial" w:cs="Arial"/>
          <w:sz w:val="22"/>
          <w:szCs w:val="22"/>
        </w:rPr>
      </w:pPr>
      <w:r w:rsidRPr="005C510D">
        <w:rPr>
          <w:rFonts w:ascii="Arial" w:hAnsi="Arial" w:cs="Arial"/>
          <w:sz w:val="22"/>
          <w:szCs w:val="22"/>
        </w:rPr>
        <w:t>The detailed information 201</w:t>
      </w:r>
      <w:r>
        <w:rPr>
          <w:rFonts w:ascii="Arial" w:hAnsi="Arial" w:cs="Arial"/>
          <w:sz w:val="22"/>
          <w:szCs w:val="22"/>
        </w:rPr>
        <w:t>6</w:t>
      </w:r>
      <w:r w:rsidRPr="005C510D">
        <w:rPr>
          <w:rFonts w:ascii="Arial" w:hAnsi="Arial" w:cs="Arial"/>
          <w:sz w:val="22"/>
          <w:szCs w:val="22"/>
        </w:rPr>
        <w:t>/1</w:t>
      </w:r>
      <w:r>
        <w:rPr>
          <w:rFonts w:ascii="Arial" w:hAnsi="Arial" w:cs="Arial"/>
          <w:sz w:val="22"/>
          <w:szCs w:val="22"/>
        </w:rPr>
        <w:t>7</w:t>
      </w:r>
      <w:r w:rsidRPr="005C510D">
        <w:rPr>
          <w:rFonts w:ascii="Arial" w:hAnsi="Arial" w:cs="Arial"/>
          <w:sz w:val="22"/>
          <w:szCs w:val="22"/>
        </w:rPr>
        <w:t xml:space="preserve"> on allocations, roll-overs and unspent amounts per grant are in the following annexures:</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 expenditure and underspending</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(aa) transfers</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BP – (bb) surrendered to NRF</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BP – (cc) roll-overs</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(iii) actual expenditure per each grant</w:t>
      </w:r>
    </w:p>
    <w:p w:rsidR="00005162" w:rsidRPr="00005162"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(iv) allocations</w:t>
      </w:r>
    </w:p>
    <w:p w:rsidR="00F715A3" w:rsidRDefault="00F715A3" w:rsidP="007A78C0">
      <w:pPr>
        <w:tabs>
          <w:tab w:val="left" w:pos="432"/>
          <w:tab w:val="left" w:pos="864"/>
        </w:tabs>
        <w:spacing w:line="360" w:lineRule="auto"/>
        <w:rPr>
          <w:rFonts w:ascii="Arial" w:hAnsi="Arial" w:cs="Arial"/>
          <w:b/>
          <w:sz w:val="22"/>
          <w:szCs w:val="22"/>
        </w:rPr>
      </w:pPr>
    </w:p>
    <w:p w:rsidR="00005162" w:rsidRPr="0062717B" w:rsidRDefault="005419FC" w:rsidP="005419FC">
      <w:pPr>
        <w:tabs>
          <w:tab w:val="left" w:pos="432"/>
          <w:tab w:val="left" w:pos="864"/>
        </w:tabs>
        <w:spacing w:line="360" w:lineRule="auto"/>
        <w:rPr>
          <w:rFonts w:ascii="Arial" w:eastAsia="Calibri" w:hAnsi="Arial" w:cs="Arial"/>
          <w:b/>
          <w:sz w:val="22"/>
          <w:szCs w:val="22"/>
          <w:lang w:val="en-ZA"/>
        </w:rPr>
      </w:pPr>
      <w:r>
        <w:rPr>
          <w:rFonts w:ascii="Arial" w:eastAsia="Calibri" w:hAnsi="Arial" w:cs="Arial"/>
          <w:sz w:val="22"/>
          <w:szCs w:val="22"/>
          <w:lang w:val="en-ZA"/>
        </w:rPr>
        <w:t>[</w:t>
      </w:r>
      <w:r w:rsidR="00005162" w:rsidRPr="005419FC">
        <w:rPr>
          <w:rFonts w:ascii="Arial" w:eastAsia="Calibri" w:hAnsi="Arial" w:cs="Arial"/>
          <w:sz w:val="22"/>
          <w:szCs w:val="22"/>
          <w:lang w:val="en-ZA"/>
        </w:rPr>
        <w:t>(</w:t>
      </w:r>
      <w:r w:rsidR="00A27843" w:rsidRPr="005419FC">
        <w:rPr>
          <w:rFonts w:ascii="Arial" w:eastAsia="Calibri" w:hAnsi="Arial" w:cs="Arial"/>
          <w:sz w:val="22"/>
          <w:szCs w:val="22"/>
          <w:lang w:val="en-ZA"/>
        </w:rPr>
        <w:t>a</w:t>
      </w:r>
      <w:r w:rsidR="00005162" w:rsidRPr="005419FC">
        <w:rPr>
          <w:rFonts w:ascii="Arial" w:eastAsia="Calibri" w:hAnsi="Arial" w:cs="Arial"/>
          <w:sz w:val="22"/>
          <w:szCs w:val="22"/>
          <w:lang w:val="en-ZA"/>
        </w:rPr>
        <w:t xml:space="preserve">)(i), </w:t>
      </w:r>
      <w:r w:rsidR="00851353" w:rsidRPr="005419FC">
        <w:rPr>
          <w:rFonts w:ascii="Arial" w:eastAsia="Calibri" w:hAnsi="Arial" w:cs="Arial"/>
          <w:sz w:val="22"/>
          <w:szCs w:val="22"/>
          <w:lang w:val="en-ZA"/>
        </w:rPr>
        <w:t xml:space="preserve">(aa), </w:t>
      </w:r>
      <w:r w:rsidR="00005162" w:rsidRPr="005419FC">
        <w:rPr>
          <w:rFonts w:ascii="Arial" w:eastAsia="Calibri" w:hAnsi="Arial" w:cs="Arial"/>
          <w:sz w:val="22"/>
          <w:szCs w:val="22"/>
          <w:lang w:val="en-ZA"/>
        </w:rPr>
        <w:t>(bb), (cc)(ii)(iii) and (iv)</w:t>
      </w:r>
      <w:r>
        <w:rPr>
          <w:rFonts w:ascii="Arial" w:eastAsia="Calibri" w:hAnsi="Arial" w:cs="Arial"/>
          <w:sz w:val="22"/>
          <w:szCs w:val="22"/>
          <w:lang w:val="en-ZA"/>
        </w:rPr>
        <w:t>]</w:t>
      </w:r>
      <w:r>
        <w:rPr>
          <w:rFonts w:ascii="Arial" w:eastAsia="Calibri" w:hAnsi="Arial" w:cs="Arial"/>
          <w:sz w:val="22"/>
          <w:szCs w:val="22"/>
          <w:lang w:val="en-ZA"/>
        </w:rPr>
        <w:tab/>
      </w:r>
      <w:r>
        <w:rPr>
          <w:rFonts w:ascii="Arial" w:eastAsia="Calibri" w:hAnsi="Arial" w:cs="Arial"/>
          <w:sz w:val="22"/>
          <w:szCs w:val="22"/>
          <w:lang w:val="en-ZA"/>
        </w:rPr>
        <w:tab/>
      </w:r>
      <w:r>
        <w:rPr>
          <w:rFonts w:ascii="Arial" w:eastAsia="Calibri" w:hAnsi="Arial" w:cs="Arial"/>
          <w:sz w:val="22"/>
          <w:szCs w:val="22"/>
          <w:lang w:val="en-ZA"/>
        </w:rPr>
        <w:tab/>
      </w:r>
      <w:r>
        <w:rPr>
          <w:rFonts w:ascii="Arial" w:eastAsia="Calibri" w:hAnsi="Arial" w:cs="Arial"/>
          <w:sz w:val="22"/>
          <w:szCs w:val="22"/>
          <w:lang w:val="en-ZA"/>
        </w:rPr>
        <w:tab/>
      </w:r>
      <w:r>
        <w:rPr>
          <w:rFonts w:ascii="Arial" w:eastAsia="Calibri" w:hAnsi="Arial" w:cs="Arial"/>
          <w:sz w:val="22"/>
          <w:szCs w:val="22"/>
          <w:lang w:val="en-ZA"/>
        </w:rPr>
        <w:tab/>
      </w:r>
      <w:r w:rsidRPr="006009D1">
        <w:rPr>
          <w:rFonts w:ascii="Arial" w:hAnsi="Arial" w:cs="Arial"/>
          <w:b/>
          <w:sz w:val="22"/>
          <w:szCs w:val="22"/>
        </w:rPr>
        <w:t>201</w:t>
      </w:r>
      <w:r>
        <w:rPr>
          <w:rFonts w:ascii="Arial" w:hAnsi="Arial" w:cs="Arial"/>
          <w:b/>
          <w:sz w:val="22"/>
          <w:szCs w:val="22"/>
        </w:rPr>
        <w:t>7/18</w:t>
      </w:r>
      <w:r w:rsidRPr="006009D1">
        <w:rPr>
          <w:rFonts w:ascii="Arial" w:hAnsi="Arial" w:cs="Arial"/>
          <w:b/>
          <w:sz w:val="22"/>
          <w:szCs w:val="22"/>
        </w:rPr>
        <w:t xml:space="preserve"> </w:t>
      </w:r>
      <w:r w:rsidRPr="00D01C6B">
        <w:rPr>
          <w:rFonts w:ascii="Arial" w:hAnsi="Arial" w:cs="Arial"/>
          <w:b/>
          <w:sz w:val="22"/>
          <w:szCs w:val="22"/>
        </w:rPr>
        <w:t>Provincial Grants</w:t>
      </w:r>
    </w:p>
    <w:p w:rsidR="00F715A3" w:rsidRPr="006009D1" w:rsidRDefault="00F715A3" w:rsidP="00F715A3">
      <w:pPr>
        <w:tabs>
          <w:tab w:val="left" w:pos="432"/>
          <w:tab w:val="left" w:pos="864"/>
        </w:tabs>
        <w:spacing w:line="360" w:lineRule="auto"/>
        <w:rPr>
          <w:rFonts w:ascii="Arial" w:hAnsi="Arial" w:cs="Arial"/>
          <w:b/>
          <w:sz w:val="22"/>
          <w:szCs w:val="22"/>
        </w:rPr>
      </w:pPr>
    </w:p>
    <w:p w:rsidR="006466CC" w:rsidRPr="006466CC" w:rsidRDefault="006466CC" w:rsidP="006466CC">
      <w:pPr>
        <w:tabs>
          <w:tab w:val="left" w:pos="432"/>
          <w:tab w:val="left" w:pos="864"/>
        </w:tabs>
        <w:spacing w:line="360" w:lineRule="auto"/>
        <w:jc w:val="both"/>
        <w:rPr>
          <w:rFonts w:ascii="Arial" w:hAnsi="Arial" w:cs="Arial"/>
          <w:sz w:val="22"/>
          <w:szCs w:val="22"/>
        </w:rPr>
      </w:pPr>
      <w:r w:rsidRPr="006466CC">
        <w:rPr>
          <w:rFonts w:ascii="Arial" w:hAnsi="Arial" w:cs="Arial"/>
          <w:sz w:val="22"/>
          <w:szCs w:val="22"/>
        </w:rPr>
        <w:lastRenderedPageBreak/>
        <w:t>In 201</w:t>
      </w:r>
      <w:r>
        <w:rPr>
          <w:rFonts w:ascii="Arial" w:hAnsi="Arial" w:cs="Arial"/>
          <w:sz w:val="22"/>
          <w:szCs w:val="22"/>
        </w:rPr>
        <w:t>7</w:t>
      </w:r>
      <w:r w:rsidRPr="006466CC">
        <w:rPr>
          <w:rFonts w:ascii="Arial" w:hAnsi="Arial" w:cs="Arial"/>
          <w:sz w:val="22"/>
          <w:szCs w:val="22"/>
        </w:rPr>
        <w:t>/1</w:t>
      </w:r>
      <w:r>
        <w:rPr>
          <w:rFonts w:ascii="Arial" w:hAnsi="Arial" w:cs="Arial"/>
          <w:sz w:val="22"/>
          <w:szCs w:val="22"/>
        </w:rPr>
        <w:t>8</w:t>
      </w:r>
      <w:r w:rsidRPr="006466CC">
        <w:rPr>
          <w:rFonts w:ascii="Arial" w:hAnsi="Arial" w:cs="Arial"/>
          <w:sz w:val="22"/>
          <w:szCs w:val="22"/>
        </w:rPr>
        <w:t xml:space="preserve"> Provinces were allocated R</w:t>
      </w:r>
      <w:r>
        <w:rPr>
          <w:rFonts w:ascii="Arial" w:hAnsi="Arial" w:cs="Arial"/>
          <w:sz w:val="22"/>
          <w:szCs w:val="22"/>
        </w:rPr>
        <w:t>96.7</w:t>
      </w:r>
      <w:r w:rsidRPr="006466CC">
        <w:rPr>
          <w:rFonts w:ascii="Arial" w:hAnsi="Arial" w:cs="Arial"/>
          <w:sz w:val="22"/>
          <w:szCs w:val="22"/>
        </w:rPr>
        <w:t xml:space="preserve"> billion in various conditional grants, of which, R</w:t>
      </w:r>
      <w:r>
        <w:rPr>
          <w:rFonts w:ascii="Arial" w:hAnsi="Arial" w:cs="Arial"/>
          <w:sz w:val="22"/>
          <w:szCs w:val="22"/>
        </w:rPr>
        <w:t xml:space="preserve">38 </w:t>
      </w:r>
      <w:r w:rsidRPr="006466CC">
        <w:rPr>
          <w:rFonts w:ascii="Arial" w:hAnsi="Arial" w:cs="Arial"/>
          <w:sz w:val="22"/>
          <w:szCs w:val="22"/>
        </w:rPr>
        <w:t>million was not transferred to provinces. Of the total of R9</w:t>
      </w:r>
      <w:r>
        <w:rPr>
          <w:rFonts w:ascii="Arial" w:hAnsi="Arial" w:cs="Arial"/>
          <w:sz w:val="22"/>
          <w:szCs w:val="22"/>
        </w:rPr>
        <w:t>8.5</w:t>
      </w:r>
      <w:r w:rsidRPr="006466CC">
        <w:rPr>
          <w:rFonts w:ascii="Arial" w:hAnsi="Arial" w:cs="Arial"/>
          <w:sz w:val="22"/>
          <w:szCs w:val="22"/>
        </w:rPr>
        <w:t xml:space="preserve"> available to provinces (including roll overs) provinces spent R</w:t>
      </w:r>
      <w:r>
        <w:rPr>
          <w:rFonts w:ascii="Arial" w:hAnsi="Arial" w:cs="Arial"/>
          <w:sz w:val="22"/>
          <w:szCs w:val="22"/>
        </w:rPr>
        <w:t>96.3</w:t>
      </w:r>
      <w:r w:rsidRPr="006466CC">
        <w:rPr>
          <w:rFonts w:ascii="Arial" w:hAnsi="Arial" w:cs="Arial"/>
          <w:sz w:val="22"/>
          <w:szCs w:val="22"/>
        </w:rPr>
        <w:t xml:space="preserve"> billion resulting in an underspending of R2.2 billion.</w:t>
      </w:r>
    </w:p>
    <w:p w:rsidR="006466CC" w:rsidRPr="006466CC" w:rsidRDefault="006466CC" w:rsidP="006466CC">
      <w:pPr>
        <w:tabs>
          <w:tab w:val="left" w:pos="432"/>
          <w:tab w:val="left" w:pos="864"/>
        </w:tabs>
        <w:spacing w:line="360" w:lineRule="auto"/>
        <w:jc w:val="both"/>
        <w:rPr>
          <w:rFonts w:ascii="Arial" w:hAnsi="Arial" w:cs="Arial"/>
          <w:sz w:val="22"/>
          <w:szCs w:val="22"/>
        </w:rPr>
      </w:pPr>
    </w:p>
    <w:p w:rsidR="006466CC" w:rsidRPr="006466CC" w:rsidRDefault="006466CC" w:rsidP="006466CC">
      <w:pPr>
        <w:tabs>
          <w:tab w:val="left" w:pos="432"/>
          <w:tab w:val="left" w:pos="864"/>
        </w:tabs>
        <w:spacing w:line="360" w:lineRule="auto"/>
        <w:jc w:val="both"/>
        <w:rPr>
          <w:rFonts w:ascii="Arial" w:hAnsi="Arial" w:cs="Arial"/>
          <w:sz w:val="22"/>
          <w:szCs w:val="22"/>
        </w:rPr>
      </w:pPr>
      <w:r w:rsidRPr="006466CC">
        <w:rPr>
          <w:rFonts w:ascii="Arial" w:hAnsi="Arial" w:cs="Arial"/>
          <w:sz w:val="22"/>
          <w:szCs w:val="22"/>
        </w:rPr>
        <w:t xml:space="preserve"> Roll overs amounting to R1.4 billion was approved and provinces surrendered R</w:t>
      </w:r>
      <w:r>
        <w:rPr>
          <w:rFonts w:ascii="Arial" w:hAnsi="Arial" w:cs="Arial"/>
          <w:sz w:val="22"/>
          <w:szCs w:val="22"/>
        </w:rPr>
        <w:t>755</w:t>
      </w:r>
      <w:r w:rsidRPr="006466CC">
        <w:rPr>
          <w:rFonts w:ascii="Arial" w:hAnsi="Arial" w:cs="Arial"/>
          <w:sz w:val="22"/>
          <w:szCs w:val="22"/>
        </w:rPr>
        <w:t xml:space="preserve"> million, which was made up of unapproved roll-overs and unspent amounts that were not requested, back to the National Revenue Fund.</w:t>
      </w:r>
    </w:p>
    <w:p w:rsidR="006466CC" w:rsidRPr="006466CC" w:rsidRDefault="006466CC" w:rsidP="006466CC">
      <w:pPr>
        <w:tabs>
          <w:tab w:val="left" w:pos="432"/>
          <w:tab w:val="left" w:pos="864"/>
        </w:tabs>
        <w:spacing w:line="360" w:lineRule="auto"/>
        <w:jc w:val="both"/>
        <w:rPr>
          <w:rFonts w:ascii="Arial" w:hAnsi="Arial" w:cs="Arial"/>
          <w:sz w:val="22"/>
          <w:szCs w:val="22"/>
        </w:rPr>
      </w:pPr>
    </w:p>
    <w:p w:rsidR="00F715A3" w:rsidRPr="006009D1" w:rsidRDefault="006466CC" w:rsidP="006466CC">
      <w:pPr>
        <w:tabs>
          <w:tab w:val="left" w:pos="432"/>
          <w:tab w:val="left" w:pos="864"/>
        </w:tabs>
        <w:spacing w:line="360" w:lineRule="auto"/>
        <w:jc w:val="both"/>
        <w:rPr>
          <w:rFonts w:ascii="Arial" w:hAnsi="Arial" w:cs="Arial"/>
          <w:sz w:val="22"/>
          <w:szCs w:val="22"/>
        </w:rPr>
      </w:pPr>
      <w:r w:rsidRPr="006466CC">
        <w:rPr>
          <w:rFonts w:ascii="Arial" w:hAnsi="Arial" w:cs="Arial"/>
          <w:sz w:val="22"/>
          <w:szCs w:val="22"/>
        </w:rPr>
        <w:t xml:space="preserve">Under spending occurred mainly on infrastructure related components of the grants including the, Education Infrastructure Grant, the Health Revitalisation Grant and the </w:t>
      </w:r>
      <w:r w:rsidR="00171BDC">
        <w:rPr>
          <w:rFonts w:ascii="Arial" w:hAnsi="Arial" w:cs="Arial"/>
          <w:sz w:val="22"/>
          <w:szCs w:val="22"/>
        </w:rPr>
        <w:t>Provincial Roads Maintenance</w:t>
      </w:r>
      <w:r w:rsidRPr="006466CC">
        <w:rPr>
          <w:rFonts w:ascii="Arial" w:hAnsi="Arial" w:cs="Arial"/>
          <w:sz w:val="22"/>
          <w:szCs w:val="22"/>
        </w:rPr>
        <w:t xml:space="preserve"> Grant. The School Nutrition grant underspent as well due to invoices being submitted late for payments.</w:t>
      </w:r>
      <w:r w:rsidR="005419FC">
        <w:rPr>
          <w:rFonts w:ascii="Arial" w:hAnsi="Arial" w:cs="Arial"/>
          <w:sz w:val="22"/>
          <w:szCs w:val="22"/>
        </w:rPr>
        <w:t xml:space="preserve"> </w:t>
      </w:r>
      <w:r w:rsidRPr="006466CC">
        <w:rPr>
          <w:rFonts w:ascii="Arial" w:hAnsi="Arial" w:cs="Arial"/>
          <w:sz w:val="22"/>
          <w:szCs w:val="22"/>
        </w:rPr>
        <w:t>In terms of the infrastructure related grants, the reasons for under expenditure include, capacity constraints, poor planning and execution poor workmanship resulting in cost increases and weak overall project management.</w:t>
      </w:r>
    </w:p>
    <w:p w:rsidR="006466CC" w:rsidRDefault="006466CC" w:rsidP="00005162">
      <w:pPr>
        <w:tabs>
          <w:tab w:val="left" w:pos="432"/>
          <w:tab w:val="left" w:pos="864"/>
        </w:tabs>
        <w:spacing w:line="360" w:lineRule="auto"/>
        <w:rPr>
          <w:rFonts w:ascii="Arial" w:hAnsi="Arial" w:cs="Arial"/>
          <w:sz w:val="22"/>
          <w:szCs w:val="22"/>
        </w:rPr>
      </w:pPr>
    </w:p>
    <w:p w:rsidR="005C510D" w:rsidRPr="005C510D" w:rsidRDefault="005C510D" w:rsidP="005C510D">
      <w:pPr>
        <w:tabs>
          <w:tab w:val="left" w:pos="432"/>
          <w:tab w:val="left" w:pos="864"/>
        </w:tabs>
        <w:spacing w:line="360" w:lineRule="auto"/>
        <w:jc w:val="both"/>
        <w:rPr>
          <w:rFonts w:ascii="Arial" w:hAnsi="Arial" w:cs="Arial"/>
          <w:sz w:val="22"/>
          <w:szCs w:val="22"/>
        </w:rPr>
      </w:pPr>
      <w:r w:rsidRPr="005C510D">
        <w:rPr>
          <w:rFonts w:ascii="Arial" w:hAnsi="Arial" w:cs="Arial"/>
          <w:sz w:val="22"/>
          <w:szCs w:val="22"/>
        </w:rPr>
        <w:t>The detailed information 201</w:t>
      </w:r>
      <w:r>
        <w:rPr>
          <w:rFonts w:ascii="Arial" w:hAnsi="Arial" w:cs="Arial"/>
          <w:sz w:val="22"/>
          <w:szCs w:val="22"/>
        </w:rPr>
        <w:t>7</w:t>
      </w:r>
      <w:r w:rsidRPr="005C510D">
        <w:rPr>
          <w:rFonts w:ascii="Arial" w:hAnsi="Arial" w:cs="Arial"/>
          <w:sz w:val="22"/>
          <w:szCs w:val="22"/>
        </w:rPr>
        <w:t>/1</w:t>
      </w:r>
      <w:r>
        <w:rPr>
          <w:rFonts w:ascii="Arial" w:hAnsi="Arial" w:cs="Arial"/>
          <w:sz w:val="22"/>
          <w:szCs w:val="22"/>
        </w:rPr>
        <w:t>8</w:t>
      </w:r>
      <w:r w:rsidRPr="005C510D">
        <w:rPr>
          <w:rFonts w:ascii="Arial" w:hAnsi="Arial" w:cs="Arial"/>
          <w:sz w:val="22"/>
          <w:szCs w:val="22"/>
        </w:rPr>
        <w:t xml:space="preserve"> on allocations, roll-overs and unspent amounts per grant are in the following annexures:</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 expenditure and underspending</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(aa) transfers</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BP – (bb) surrendered to NRF</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BP – (cc) roll-overs</w:t>
      </w:r>
    </w:p>
    <w:p w:rsidR="005C510D" w:rsidRPr="005C510D"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(iii) actual expenditure per each grant</w:t>
      </w:r>
    </w:p>
    <w:p w:rsidR="00F715A3" w:rsidRDefault="005C510D" w:rsidP="005419FC">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(iv) allocations</w:t>
      </w:r>
    </w:p>
    <w:p w:rsidR="00F715A3" w:rsidRPr="004D5D0A" w:rsidRDefault="00F715A3" w:rsidP="00F715A3">
      <w:pPr>
        <w:tabs>
          <w:tab w:val="left" w:pos="432"/>
          <w:tab w:val="left" w:pos="864"/>
        </w:tabs>
        <w:spacing w:line="360" w:lineRule="auto"/>
        <w:rPr>
          <w:rFonts w:ascii="Arial" w:hAnsi="Arial" w:cs="Arial"/>
          <w:b/>
          <w:sz w:val="22"/>
          <w:szCs w:val="22"/>
        </w:rPr>
      </w:pPr>
    </w:p>
    <w:p w:rsidR="00171BDC" w:rsidRPr="005419FC" w:rsidRDefault="005419FC" w:rsidP="005419FC">
      <w:pPr>
        <w:tabs>
          <w:tab w:val="left" w:pos="432"/>
          <w:tab w:val="left" w:pos="864"/>
        </w:tabs>
        <w:spacing w:line="360" w:lineRule="auto"/>
        <w:jc w:val="both"/>
        <w:rPr>
          <w:rFonts w:ascii="Arial" w:hAnsi="Arial" w:cs="Arial"/>
          <w:b/>
          <w:sz w:val="22"/>
          <w:szCs w:val="22"/>
        </w:rPr>
      </w:pPr>
      <w:r>
        <w:rPr>
          <w:rFonts w:ascii="Arial" w:hAnsi="Arial" w:cs="Arial"/>
          <w:sz w:val="22"/>
          <w:szCs w:val="22"/>
        </w:rPr>
        <w:t>[</w:t>
      </w:r>
      <w:r w:rsidR="00A27843">
        <w:rPr>
          <w:rFonts w:ascii="Arial" w:hAnsi="Arial" w:cs="Arial"/>
          <w:sz w:val="22"/>
          <w:szCs w:val="22"/>
        </w:rPr>
        <w:t>(a</w:t>
      </w:r>
      <w:r w:rsidR="00171BDC" w:rsidRPr="00171BDC">
        <w:rPr>
          <w:rFonts w:ascii="Arial" w:hAnsi="Arial" w:cs="Arial"/>
          <w:sz w:val="22"/>
          <w:szCs w:val="22"/>
        </w:rPr>
        <w:t>)(i), (aa), (</w:t>
      </w:r>
      <w:r>
        <w:rPr>
          <w:rFonts w:ascii="Arial" w:hAnsi="Arial" w:cs="Arial"/>
          <w:sz w:val="22"/>
          <w:szCs w:val="22"/>
        </w:rPr>
        <w:t>bb), (cc)(ii)(iii) and (iv)]</w:t>
      </w:r>
      <w:r>
        <w:rPr>
          <w:rFonts w:ascii="Arial" w:hAnsi="Arial" w:cs="Arial"/>
          <w:sz w:val="22"/>
          <w:szCs w:val="22"/>
        </w:rPr>
        <w:tab/>
      </w:r>
      <w:r>
        <w:rPr>
          <w:rFonts w:ascii="Arial" w:hAnsi="Arial" w:cs="Arial"/>
          <w:sz w:val="22"/>
          <w:szCs w:val="22"/>
        </w:rPr>
        <w:tab/>
      </w:r>
      <w:r w:rsidR="00111971">
        <w:rPr>
          <w:rFonts w:ascii="Arial" w:hAnsi="Arial" w:cs="Arial"/>
          <w:sz w:val="22"/>
          <w:szCs w:val="22"/>
        </w:rPr>
        <w:tab/>
      </w:r>
      <w:r>
        <w:rPr>
          <w:rFonts w:ascii="Arial" w:hAnsi="Arial" w:cs="Arial"/>
          <w:sz w:val="22"/>
          <w:szCs w:val="22"/>
        </w:rPr>
        <w:tab/>
      </w:r>
      <w:r>
        <w:rPr>
          <w:rFonts w:ascii="Arial" w:hAnsi="Arial" w:cs="Arial"/>
          <w:sz w:val="22"/>
          <w:szCs w:val="22"/>
        </w:rPr>
        <w:tab/>
      </w:r>
      <w:r w:rsidRPr="005419FC">
        <w:rPr>
          <w:rFonts w:ascii="Arial" w:hAnsi="Arial" w:cs="Arial"/>
          <w:sz w:val="22"/>
          <w:szCs w:val="22"/>
        </w:rPr>
        <w:t xml:space="preserve"> </w:t>
      </w:r>
      <w:r w:rsidRPr="005419FC">
        <w:rPr>
          <w:rFonts w:ascii="Arial" w:hAnsi="Arial" w:cs="Arial"/>
          <w:b/>
          <w:sz w:val="22"/>
          <w:szCs w:val="22"/>
        </w:rPr>
        <w:t>2018/19 Provincial Grants</w:t>
      </w:r>
    </w:p>
    <w:p w:rsidR="00171BDC" w:rsidRPr="00171BDC" w:rsidRDefault="00171BDC" w:rsidP="00171BDC">
      <w:pPr>
        <w:tabs>
          <w:tab w:val="left" w:pos="432"/>
          <w:tab w:val="left" w:pos="864"/>
        </w:tabs>
        <w:spacing w:line="360" w:lineRule="auto"/>
        <w:jc w:val="both"/>
        <w:rPr>
          <w:rFonts w:ascii="Arial" w:hAnsi="Arial" w:cs="Arial"/>
          <w:sz w:val="22"/>
          <w:szCs w:val="22"/>
        </w:rPr>
      </w:pPr>
    </w:p>
    <w:p w:rsidR="00171BDC" w:rsidRPr="00171BDC" w:rsidRDefault="00171BDC" w:rsidP="00171BDC">
      <w:pPr>
        <w:tabs>
          <w:tab w:val="left" w:pos="432"/>
          <w:tab w:val="left" w:pos="864"/>
        </w:tabs>
        <w:spacing w:line="360" w:lineRule="auto"/>
        <w:jc w:val="both"/>
        <w:rPr>
          <w:rFonts w:ascii="Arial" w:hAnsi="Arial" w:cs="Arial"/>
          <w:sz w:val="22"/>
          <w:szCs w:val="22"/>
        </w:rPr>
      </w:pPr>
      <w:r w:rsidRPr="00171BDC">
        <w:rPr>
          <w:rFonts w:ascii="Arial" w:hAnsi="Arial" w:cs="Arial"/>
          <w:sz w:val="22"/>
          <w:szCs w:val="22"/>
        </w:rPr>
        <w:t>In 201</w:t>
      </w:r>
      <w:r>
        <w:rPr>
          <w:rFonts w:ascii="Arial" w:hAnsi="Arial" w:cs="Arial"/>
          <w:sz w:val="22"/>
          <w:szCs w:val="22"/>
        </w:rPr>
        <w:t>8</w:t>
      </w:r>
      <w:r w:rsidRPr="00171BDC">
        <w:rPr>
          <w:rFonts w:ascii="Arial" w:hAnsi="Arial" w:cs="Arial"/>
          <w:sz w:val="22"/>
          <w:szCs w:val="22"/>
        </w:rPr>
        <w:t>/1</w:t>
      </w:r>
      <w:r>
        <w:rPr>
          <w:rFonts w:ascii="Arial" w:hAnsi="Arial" w:cs="Arial"/>
          <w:sz w:val="22"/>
          <w:szCs w:val="22"/>
        </w:rPr>
        <w:t>9</w:t>
      </w:r>
      <w:r w:rsidRPr="00171BDC">
        <w:rPr>
          <w:rFonts w:ascii="Arial" w:hAnsi="Arial" w:cs="Arial"/>
          <w:sz w:val="22"/>
          <w:szCs w:val="22"/>
        </w:rPr>
        <w:t xml:space="preserve"> Provinces were allocated R</w:t>
      </w:r>
      <w:r>
        <w:rPr>
          <w:rFonts w:ascii="Arial" w:hAnsi="Arial" w:cs="Arial"/>
          <w:sz w:val="22"/>
          <w:szCs w:val="22"/>
        </w:rPr>
        <w:t>100.3</w:t>
      </w:r>
      <w:r w:rsidRPr="00171BDC">
        <w:rPr>
          <w:rFonts w:ascii="Arial" w:hAnsi="Arial" w:cs="Arial"/>
          <w:sz w:val="22"/>
          <w:szCs w:val="22"/>
        </w:rPr>
        <w:t xml:space="preserve"> billion in various conditional grants, of which, R</w:t>
      </w:r>
      <w:r>
        <w:rPr>
          <w:rFonts w:ascii="Arial" w:hAnsi="Arial" w:cs="Arial"/>
          <w:sz w:val="22"/>
          <w:szCs w:val="22"/>
        </w:rPr>
        <w:t>9</w:t>
      </w:r>
      <w:r w:rsidRPr="00171BDC">
        <w:rPr>
          <w:rFonts w:ascii="Arial" w:hAnsi="Arial" w:cs="Arial"/>
          <w:sz w:val="22"/>
          <w:szCs w:val="22"/>
        </w:rPr>
        <w:t xml:space="preserve"> million was not transferred to provinces. Of the total of R</w:t>
      </w:r>
      <w:r>
        <w:rPr>
          <w:rFonts w:ascii="Arial" w:hAnsi="Arial" w:cs="Arial"/>
          <w:sz w:val="22"/>
          <w:szCs w:val="22"/>
        </w:rPr>
        <w:t>103</w:t>
      </w:r>
      <w:r w:rsidRPr="00171BDC">
        <w:rPr>
          <w:rFonts w:ascii="Arial" w:hAnsi="Arial" w:cs="Arial"/>
          <w:sz w:val="22"/>
          <w:szCs w:val="22"/>
        </w:rPr>
        <w:t xml:space="preserve"> available to provinces (including roll overs) provinces spent R</w:t>
      </w:r>
      <w:r>
        <w:rPr>
          <w:rFonts w:ascii="Arial" w:hAnsi="Arial" w:cs="Arial"/>
          <w:sz w:val="22"/>
          <w:szCs w:val="22"/>
        </w:rPr>
        <w:t>99.4</w:t>
      </w:r>
      <w:r w:rsidRPr="00171BDC">
        <w:rPr>
          <w:rFonts w:ascii="Arial" w:hAnsi="Arial" w:cs="Arial"/>
          <w:sz w:val="22"/>
          <w:szCs w:val="22"/>
        </w:rPr>
        <w:t xml:space="preserve"> billion resulting in an underspending of R</w:t>
      </w:r>
      <w:r w:rsidR="009C722E">
        <w:rPr>
          <w:rFonts w:ascii="Arial" w:hAnsi="Arial" w:cs="Arial"/>
          <w:sz w:val="22"/>
          <w:szCs w:val="22"/>
        </w:rPr>
        <w:t>3.5 b</w:t>
      </w:r>
      <w:r w:rsidRPr="00171BDC">
        <w:rPr>
          <w:rFonts w:ascii="Arial" w:hAnsi="Arial" w:cs="Arial"/>
          <w:sz w:val="22"/>
          <w:szCs w:val="22"/>
        </w:rPr>
        <w:t>illion.</w:t>
      </w:r>
      <w:r w:rsidR="009C722E">
        <w:rPr>
          <w:rFonts w:ascii="Arial" w:hAnsi="Arial" w:cs="Arial"/>
          <w:sz w:val="22"/>
          <w:szCs w:val="22"/>
        </w:rPr>
        <w:t xml:space="preserve"> It must be noted however, that these numbers are pre-audited and is subject to change once the audit has been finalized. </w:t>
      </w:r>
    </w:p>
    <w:p w:rsidR="00171BDC" w:rsidRPr="00171BDC" w:rsidRDefault="00171BDC" w:rsidP="00171BDC">
      <w:pPr>
        <w:tabs>
          <w:tab w:val="left" w:pos="432"/>
          <w:tab w:val="left" w:pos="864"/>
        </w:tabs>
        <w:spacing w:line="360" w:lineRule="auto"/>
        <w:jc w:val="both"/>
        <w:rPr>
          <w:rFonts w:ascii="Arial" w:hAnsi="Arial" w:cs="Arial"/>
          <w:sz w:val="22"/>
          <w:szCs w:val="22"/>
        </w:rPr>
      </w:pPr>
    </w:p>
    <w:p w:rsidR="009C722E" w:rsidRPr="00171BDC" w:rsidRDefault="009C722E" w:rsidP="009C722E">
      <w:pPr>
        <w:tabs>
          <w:tab w:val="left" w:pos="432"/>
          <w:tab w:val="left" w:pos="864"/>
        </w:tabs>
        <w:spacing w:line="360" w:lineRule="auto"/>
        <w:jc w:val="both"/>
        <w:rPr>
          <w:rFonts w:ascii="Arial" w:hAnsi="Arial" w:cs="Arial"/>
          <w:sz w:val="22"/>
          <w:szCs w:val="22"/>
        </w:rPr>
      </w:pPr>
      <w:r>
        <w:rPr>
          <w:rFonts w:ascii="Arial" w:hAnsi="Arial" w:cs="Arial"/>
          <w:sz w:val="22"/>
          <w:szCs w:val="22"/>
        </w:rPr>
        <w:t xml:space="preserve"> Roll overs amounting to R2</w:t>
      </w:r>
      <w:r w:rsidR="00171BDC" w:rsidRPr="00171BDC">
        <w:rPr>
          <w:rFonts w:ascii="Arial" w:hAnsi="Arial" w:cs="Arial"/>
          <w:sz w:val="22"/>
          <w:szCs w:val="22"/>
        </w:rPr>
        <w:t xml:space="preserve"> billion was approved and provinces surrendered R</w:t>
      </w:r>
      <w:r>
        <w:rPr>
          <w:rFonts w:ascii="Arial" w:hAnsi="Arial" w:cs="Arial"/>
          <w:sz w:val="22"/>
          <w:szCs w:val="22"/>
        </w:rPr>
        <w:t>1.4 b</w:t>
      </w:r>
      <w:r w:rsidR="00171BDC" w:rsidRPr="00171BDC">
        <w:rPr>
          <w:rFonts w:ascii="Arial" w:hAnsi="Arial" w:cs="Arial"/>
          <w:sz w:val="22"/>
          <w:szCs w:val="22"/>
        </w:rPr>
        <w:t xml:space="preserve">illion, which was made up of unapproved roll-overs and unspent amounts that were not requested, back to the </w:t>
      </w:r>
      <w:r w:rsidR="00171BDC" w:rsidRPr="00171BDC">
        <w:rPr>
          <w:rFonts w:ascii="Arial" w:hAnsi="Arial" w:cs="Arial"/>
          <w:sz w:val="22"/>
          <w:szCs w:val="22"/>
        </w:rPr>
        <w:lastRenderedPageBreak/>
        <w:t>National Revenue Fund.</w:t>
      </w:r>
      <w:r>
        <w:rPr>
          <w:rFonts w:ascii="Arial" w:hAnsi="Arial" w:cs="Arial"/>
          <w:sz w:val="22"/>
          <w:szCs w:val="22"/>
        </w:rPr>
        <w:t xml:space="preserve"> It must be noted however, that these numbers are pre-audited and is subject to change once the audit has been finalized. </w:t>
      </w:r>
    </w:p>
    <w:p w:rsidR="00171BDC" w:rsidRPr="00171BDC" w:rsidRDefault="00171BDC" w:rsidP="00171BDC">
      <w:pPr>
        <w:tabs>
          <w:tab w:val="left" w:pos="432"/>
          <w:tab w:val="left" w:pos="864"/>
        </w:tabs>
        <w:spacing w:line="360" w:lineRule="auto"/>
        <w:jc w:val="both"/>
        <w:rPr>
          <w:rFonts w:ascii="Arial" w:hAnsi="Arial" w:cs="Arial"/>
          <w:sz w:val="22"/>
          <w:szCs w:val="22"/>
        </w:rPr>
      </w:pPr>
    </w:p>
    <w:p w:rsidR="00171BDC" w:rsidRPr="00171BDC" w:rsidRDefault="00171BDC" w:rsidP="00171BDC">
      <w:pPr>
        <w:tabs>
          <w:tab w:val="left" w:pos="432"/>
          <w:tab w:val="left" w:pos="864"/>
        </w:tabs>
        <w:spacing w:line="360" w:lineRule="auto"/>
        <w:jc w:val="both"/>
        <w:rPr>
          <w:rFonts w:ascii="Arial" w:hAnsi="Arial" w:cs="Arial"/>
          <w:sz w:val="22"/>
          <w:szCs w:val="22"/>
        </w:rPr>
      </w:pPr>
      <w:r w:rsidRPr="00171BDC">
        <w:rPr>
          <w:rFonts w:ascii="Arial" w:hAnsi="Arial" w:cs="Arial"/>
          <w:sz w:val="22"/>
          <w:szCs w:val="22"/>
        </w:rPr>
        <w:t xml:space="preserve">Under spending occurred mainly on infrastructure related components of the grants including the, Education Infrastructure Grant, the Health Revitalisation Grant and the </w:t>
      </w:r>
      <w:r w:rsidR="007C414F">
        <w:rPr>
          <w:rFonts w:ascii="Arial" w:hAnsi="Arial" w:cs="Arial"/>
          <w:sz w:val="22"/>
          <w:szCs w:val="22"/>
        </w:rPr>
        <w:t>Human Settlements Development</w:t>
      </w:r>
      <w:r w:rsidRPr="00171BDC">
        <w:rPr>
          <w:rFonts w:ascii="Arial" w:hAnsi="Arial" w:cs="Arial"/>
          <w:sz w:val="22"/>
          <w:szCs w:val="22"/>
        </w:rPr>
        <w:t xml:space="preserve"> Grant. The School Nutrition grant underspent as well due to invoices being submitted late for payments.</w:t>
      </w:r>
      <w:r w:rsidR="007C414F">
        <w:rPr>
          <w:rFonts w:ascii="Arial" w:hAnsi="Arial" w:cs="Arial"/>
          <w:sz w:val="22"/>
          <w:szCs w:val="22"/>
        </w:rPr>
        <w:t xml:space="preserve"> There also SCM and planning delays that resulted in underspending on the Comprehensive Agricultural Support Programme.</w:t>
      </w:r>
    </w:p>
    <w:p w:rsidR="00F715A3" w:rsidRDefault="00171BDC" w:rsidP="00171BDC">
      <w:pPr>
        <w:tabs>
          <w:tab w:val="left" w:pos="432"/>
          <w:tab w:val="left" w:pos="864"/>
        </w:tabs>
        <w:spacing w:line="360" w:lineRule="auto"/>
        <w:jc w:val="both"/>
        <w:rPr>
          <w:rFonts w:ascii="Arial" w:hAnsi="Arial" w:cs="Arial"/>
          <w:sz w:val="22"/>
          <w:szCs w:val="22"/>
        </w:rPr>
      </w:pPr>
      <w:r w:rsidRPr="00171BDC">
        <w:rPr>
          <w:rFonts w:ascii="Arial" w:hAnsi="Arial" w:cs="Arial"/>
          <w:sz w:val="22"/>
          <w:szCs w:val="22"/>
        </w:rPr>
        <w:t>In terms of the infrastructure related grants, the reasons for under expenditure include, capacity constraints, poor planning and execution poor workmanship resulting in cost increases and weak overall project management.</w:t>
      </w:r>
    </w:p>
    <w:p w:rsidR="00171BDC" w:rsidRPr="004D5D0A" w:rsidRDefault="00171BDC" w:rsidP="00171BDC">
      <w:pPr>
        <w:tabs>
          <w:tab w:val="left" w:pos="432"/>
          <w:tab w:val="left" w:pos="864"/>
        </w:tabs>
        <w:spacing w:line="360" w:lineRule="auto"/>
        <w:jc w:val="both"/>
        <w:rPr>
          <w:rFonts w:ascii="Arial" w:hAnsi="Arial" w:cs="Arial"/>
          <w:sz w:val="22"/>
          <w:szCs w:val="22"/>
        </w:rPr>
      </w:pPr>
    </w:p>
    <w:p w:rsidR="005C510D" w:rsidRPr="005C510D" w:rsidRDefault="005C510D" w:rsidP="005C510D">
      <w:pPr>
        <w:tabs>
          <w:tab w:val="left" w:pos="432"/>
          <w:tab w:val="left" w:pos="864"/>
        </w:tabs>
        <w:spacing w:line="360" w:lineRule="auto"/>
        <w:jc w:val="both"/>
        <w:rPr>
          <w:rFonts w:ascii="Arial" w:hAnsi="Arial" w:cs="Arial"/>
          <w:sz w:val="22"/>
          <w:szCs w:val="22"/>
        </w:rPr>
      </w:pPr>
      <w:r w:rsidRPr="005C510D">
        <w:rPr>
          <w:rFonts w:ascii="Arial" w:hAnsi="Arial" w:cs="Arial"/>
          <w:sz w:val="22"/>
          <w:szCs w:val="22"/>
        </w:rPr>
        <w:t>The detailed information 201</w:t>
      </w:r>
      <w:r>
        <w:rPr>
          <w:rFonts w:ascii="Arial" w:hAnsi="Arial" w:cs="Arial"/>
          <w:sz w:val="22"/>
          <w:szCs w:val="22"/>
        </w:rPr>
        <w:t>8</w:t>
      </w:r>
      <w:r w:rsidRPr="005C510D">
        <w:rPr>
          <w:rFonts w:ascii="Arial" w:hAnsi="Arial" w:cs="Arial"/>
          <w:sz w:val="22"/>
          <w:szCs w:val="22"/>
        </w:rPr>
        <w:t>/1</w:t>
      </w:r>
      <w:r>
        <w:rPr>
          <w:rFonts w:ascii="Arial" w:hAnsi="Arial" w:cs="Arial"/>
          <w:sz w:val="22"/>
          <w:szCs w:val="22"/>
        </w:rPr>
        <w:t>9</w:t>
      </w:r>
      <w:r w:rsidRPr="005C510D">
        <w:rPr>
          <w:rFonts w:ascii="Arial" w:hAnsi="Arial" w:cs="Arial"/>
          <w:sz w:val="22"/>
          <w:szCs w:val="22"/>
        </w:rPr>
        <w:t xml:space="preserve"> on allocations, roll-overs and unspent amounts per grant are in the following annexures:</w:t>
      </w:r>
    </w:p>
    <w:p w:rsidR="005C510D" w:rsidRPr="005C510D" w:rsidRDefault="005C510D" w:rsidP="00F67F01">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 expenditure and underspending</w:t>
      </w:r>
    </w:p>
    <w:p w:rsidR="005C510D" w:rsidRPr="005C510D" w:rsidRDefault="005C510D" w:rsidP="00F67F01">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(aa) transfers</w:t>
      </w:r>
    </w:p>
    <w:p w:rsidR="005C510D" w:rsidRPr="005C510D" w:rsidRDefault="005C510D" w:rsidP="00F67F01">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BP – (bb) surrendered to NRF</w:t>
      </w:r>
    </w:p>
    <w:p w:rsidR="005C510D" w:rsidRPr="005C510D" w:rsidRDefault="005C510D" w:rsidP="00F67F01">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BP – (cc) roll-overs</w:t>
      </w:r>
    </w:p>
    <w:p w:rsidR="005C510D" w:rsidRPr="005C510D" w:rsidRDefault="005C510D" w:rsidP="00F67F01">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(iii) actual expenditure per each grant</w:t>
      </w:r>
    </w:p>
    <w:p w:rsidR="00B75EBD" w:rsidRDefault="005C510D" w:rsidP="00F67F01">
      <w:pPr>
        <w:tabs>
          <w:tab w:val="left" w:pos="432"/>
          <w:tab w:val="left" w:pos="864"/>
        </w:tabs>
        <w:spacing w:line="360" w:lineRule="auto"/>
        <w:ind w:left="450"/>
        <w:jc w:val="both"/>
        <w:rPr>
          <w:rFonts w:ascii="Arial" w:hAnsi="Arial" w:cs="Arial"/>
          <w:sz w:val="22"/>
          <w:szCs w:val="22"/>
        </w:rPr>
      </w:pPr>
      <w:r w:rsidRPr="005C510D">
        <w:rPr>
          <w:rFonts w:ascii="Arial" w:hAnsi="Arial" w:cs="Arial"/>
          <w:sz w:val="22"/>
          <w:szCs w:val="22"/>
        </w:rPr>
        <w:t>Annexure AP - (a) (iv) allocations</w:t>
      </w:r>
      <w:r w:rsidR="00B75EBD">
        <w:rPr>
          <w:rFonts w:ascii="Arial" w:hAnsi="Arial" w:cs="Arial"/>
          <w:sz w:val="22"/>
          <w:szCs w:val="22"/>
        </w:rPr>
        <w:t xml:space="preserve"> </w:t>
      </w:r>
    </w:p>
    <w:p w:rsidR="00851353" w:rsidRDefault="00851353" w:rsidP="00005162">
      <w:pPr>
        <w:tabs>
          <w:tab w:val="left" w:pos="432"/>
          <w:tab w:val="left" w:pos="864"/>
        </w:tabs>
        <w:spacing w:line="360" w:lineRule="auto"/>
        <w:jc w:val="both"/>
        <w:rPr>
          <w:rFonts w:ascii="Arial" w:hAnsi="Arial" w:cs="Arial"/>
          <w:sz w:val="22"/>
          <w:szCs w:val="22"/>
        </w:rPr>
      </w:pPr>
    </w:p>
    <w:p w:rsidR="00851353" w:rsidRPr="00851353" w:rsidRDefault="00851353" w:rsidP="00851353">
      <w:pPr>
        <w:spacing w:line="360" w:lineRule="auto"/>
        <w:rPr>
          <w:rFonts w:ascii="Arial" w:hAnsi="Arial" w:cs="Arial"/>
          <w:b/>
          <w:i/>
          <w:sz w:val="22"/>
          <w:szCs w:val="22"/>
        </w:rPr>
      </w:pPr>
      <w:r w:rsidRPr="00851353">
        <w:rPr>
          <w:rFonts w:ascii="Arial" w:hAnsi="Arial" w:cs="Arial"/>
          <w:b/>
          <w:i/>
          <w:sz w:val="22"/>
          <w:szCs w:val="22"/>
        </w:rPr>
        <w:t>Kindly note that Nat</w:t>
      </w:r>
      <w:r w:rsidR="00085F96">
        <w:rPr>
          <w:rFonts w:ascii="Arial" w:hAnsi="Arial" w:cs="Arial"/>
          <w:b/>
          <w:i/>
          <w:sz w:val="22"/>
          <w:szCs w:val="22"/>
        </w:rPr>
        <w:t>ional Treasury has published this</w:t>
      </w:r>
      <w:r w:rsidRPr="00851353">
        <w:rPr>
          <w:rFonts w:ascii="Arial" w:hAnsi="Arial" w:cs="Arial"/>
          <w:b/>
          <w:i/>
          <w:sz w:val="22"/>
          <w:szCs w:val="22"/>
        </w:rPr>
        <w:t xml:space="preserve"> information (Allocation, Transfers, Expenditure and underspending) on the website</w:t>
      </w:r>
      <w:r w:rsidR="00085F96">
        <w:rPr>
          <w:rFonts w:ascii="Arial" w:hAnsi="Arial" w:cs="Arial"/>
          <w:b/>
          <w:i/>
          <w:sz w:val="22"/>
          <w:szCs w:val="22"/>
        </w:rPr>
        <w:t>.</w:t>
      </w:r>
    </w:p>
    <w:p w:rsidR="00851353" w:rsidRDefault="00851353" w:rsidP="00005162">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rPr>
          <w:rFonts w:ascii="Arial" w:eastAsia="Calibri" w:hAnsi="Arial" w:cs="Arial"/>
          <w:b/>
          <w:sz w:val="22"/>
          <w:szCs w:val="22"/>
          <w:lang w:val="en-ZA"/>
        </w:rPr>
      </w:pPr>
      <w:r>
        <w:rPr>
          <w:rFonts w:ascii="Arial" w:eastAsia="Calibri" w:hAnsi="Arial" w:cs="Arial"/>
          <w:sz w:val="22"/>
          <w:szCs w:val="22"/>
          <w:lang w:val="en-ZA"/>
        </w:rPr>
        <w:t>[</w:t>
      </w:r>
      <w:r w:rsidRPr="001520E8">
        <w:rPr>
          <w:rFonts w:ascii="Arial" w:eastAsia="Calibri" w:hAnsi="Arial" w:cs="Arial"/>
          <w:sz w:val="22"/>
          <w:szCs w:val="22"/>
          <w:lang w:val="en-ZA"/>
        </w:rPr>
        <w:t>(b), (i), (aa), (bb), (cc), (ii), (iii) and (iv)</w:t>
      </w:r>
      <w:r>
        <w:rPr>
          <w:rFonts w:ascii="Arial" w:eastAsia="Calibri" w:hAnsi="Arial" w:cs="Arial"/>
          <w:sz w:val="22"/>
          <w:szCs w:val="22"/>
          <w:lang w:val="en-ZA"/>
        </w:rPr>
        <w:t>]</w:t>
      </w:r>
      <w:r>
        <w:rPr>
          <w:rFonts w:ascii="Arial" w:eastAsia="Calibri" w:hAnsi="Arial" w:cs="Arial"/>
          <w:sz w:val="22"/>
          <w:szCs w:val="22"/>
          <w:lang w:val="en-ZA"/>
        </w:rPr>
        <w:tab/>
      </w:r>
      <w:r>
        <w:rPr>
          <w:rFonts w:ascii="Arial" w:eastAsia="Calibri" w:hAnsi="Arial" w:cs="Arial"/>
          <w:sz w:val="22"/>
          <w:szCs w:val="22"/>
          <w:lang w:val="en-ZA"/>
        </w:rPr>
        <w:tab/>
      </w:r>
      <w:r>
        <w:rPr>
          <w:rFonts w:ascii="Arial" w:eastAsia="Calibri" w:hAnsi="Arial" w:cs="Arial"/>
          <w:sz w:val="22"/>
          <w:szCs w:val="22"/>
          <w:lang w:val="en-ZA"/>
        </w:rPr>
        <w:tab/>
      </w:r>
      <w:r w:rsidRPr="0062717B">
        <w:rPr>
          <w:rFonts w:ascii="Arial" w:hAnsi="Arial" w:cs="Arial"/>
          <w:b/>
          <w:sz w:val="22"/>
          <w:szCs w:val="22"/>
        </w:rPr>
        <w:t>2014/15 Local Government Grants</w:t>
      </w:r>
    </w:p>
    <w:p w:rsidR="001520E8" w:rsidRPr="0062717B" w:rsidRDefault="001520E8" w:rsidP="001520E8">
      <w:pPr>
        <w:tabs>
          <w:tab w:val="left" w:pos="432"/>
          <w:tab w:val="left" w:pos="864"/>
        </w:tabs>
        <w:spacing w:line="360" w:lineRule="auto"/>
        <w:rPr>
          <w:rFonts w:ascii="Arial" w:eastAsia="Calibri" w:hAnsi="Arial" w:cs="Arial"/>
          <w:b/>
          <w:sz w:val="22"/>
          <w:szCs w:val="22"/>
          <w:lang w:val="en-ZA"/>
        </w:rPr>
      </w:pPr>
    </w:p>
    <w:p w:rsidR="001520E8" w:rsidRDefault="001520E8" w:rsidP="001520E8">
      <w:pPr>
        <w:tabs>
          <w:tab w:val="left" w:pos="432"/>
          <w:tab w:val="left" w:pos="864"/>
        </w:tabs>
        <w:spacing w:line="360" w:lineRule="auto"/>
        <w:jc w:val="both"/>
        <w:rPr>
          <w:rFonts w:ascii="Arial" w:hAnsi="Arial" w:cs="Arial"/>
          <w:sz w:val="22"/>
          <w:szCs w:val="22"/>
        </w:rPr>
      </w:pPr>
      <w:r>
        <w:rPr>
          <w:rFonts w:ascii="Arial" w:hAnsi="Arial" w:cs="Arial"/>
          <w:sz w:val="22"/>
          <w:szCs w:val="22"/>
        </w:rPr>
        <w:t>In 2014/15 municipalities were allocated R25.7 billion in various conditional grants and R25.5 billion was transferred to municipalities. Municipalities underspent on the transferred amount and as a result a total amount of R3 billion in different grants was requested by municipalities to be rolled over into the next financial year, however only R1.2 billion was approved to be rolled over into the 2015/16 financial year and R1.8 billion was unapproved.</w:t>
      </w:r>
    </w:p>
    <w:p w:rsidR="001520E8" w:rsidRDefault="001520E8" w:rsidP="001520E8">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jc w:val="both"/>
        <w:rPr>
          <w:rFonts w:ascii="Arial" w:hAnsi="Arial" w:cs="Arial"/>
          <w:sz w:val="22"/>
          <w:szCs w:val="22"/>
        </w:rPr>
      </w:pPr>
      <w:r>
        <w:rPr>
          <w:rFonts w:ascii="Arial" w:hAnsi="Arial" w:cs="Arial"/>
          <w:sz w:val="22"/>
          <w:szCs w:val="22"/>
        </w:rPr>
        <w:lastRenderedPageBreak/>
        <w:t xml:space="preserve">A total of R3.2 billion in unspent conditional grants was returned to the National Revenue Fund, this was made up of unapproved roll-overs and unspent amounts that were never requested to be rolled over into the next financial year, but were unspent at the end of the financial year. </w:t>
      </w:r>
    </w:p>
    <w:p w:rsidR="001520E8" w:rsidRDefault="001520E8" w:rsidP="001520E8">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jc w:val="both"/>
        <w:rPr>
          <w:rFonts w:ascii="Arial" w:hAnsi="Arial" w:cs="Arial"/>
          <w:sz w:val="22"/>
          <w:szCs w:val="22"/>
        </w:rPr>
      </w:pPr>
      <w:r>
        <w:rPr>
          <w:rFonts w:ascii="Arial" w:hAnsi="Arial" w:cs="Arial"/>
          <w:sz w:val="22"/>
          <w:szCs w:val="22"/>
        </w:rPr>
        <w:t>The reasons for under expenditure vary, as seen from the roll-over requests submissions by municipalities, ranging from capacity constraints, poor planning, slow or late procurement, leadership issues, among others. There is of late disruptions to procurement and project implementation processes by local business forums demanding that 30 per cent of each project cost be procured from local entrepreneurs or SMME’s, which is not always possible due to most not meeting the qualifying criteria required to deliver on the projects needed to be implemented.</w:t>
      </w:r>
    </w:p>
    <w:p w:rsidR="001520E8" w:rsidRDefault="001520E8" w:rsidP="001520E8">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rPr>
          <w:rFonts w:ascii="Arial" w:hAnsi="Arial" w:cs="Arial"/>
          <w:b/>
          <w:sz w:val="22"/>
          <w:szCs w:val="22"/>
        </w:rPr>
      </w:pPr>
      <w:r>
        <w:rPr>
          <w:rFonts w:ascii="Arial" w:hAnsi="Arial" w:cs="Arial"/>
          <w:sz w:val="22"/>
          <w:szCs w:val="22"/>
        </w:rPr>
        <w:t>The detailed information 2014/15 on allocations, roll-overs and unspent amounts per grant are in the following annexures: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 xml:space="preserve">Annexure C - </w:t>
      </w:r>
      <w:r w:rsidRPr="00005162">
        <w:rPr>
          <w:rFonts w:ascii="Arial" w:hAnsi="Arial" w:cs="Arial"/>
          <w:sz w:val="22"/>
          <w:szCs w:val="22"/>
        </w:rPr>
        <w:t>(b)(i) exp</w:t>
      </w:r>
      <w:r>
        <w:rPr>
          <w:rFonts w:ascii="Arial" w:hAnsi="Arial" w:cs="Arial"/>
          <w:sz w:val="22"/>
          <w:szCs w:val="22"/>
        </w:rPr>
        <w:t>enditure</w:t>
      </w:r>
      <w:r w:rsidRPr="00005162">
        <w:rPr>
          <w:rFonts w:ascii="Arial" w:hAnsi="Arial" w:cs="Arial"/>
          <w:sz w:val="22"/>
          <w:szCs w:val="22"/>
        </w:rPr>
        <w:t xml:space="preserve"> and underspending</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A – (a</w:t>
      </w:r>
      <w:r w:rsidRPr="00005162">
        <w:rPr>
          <w:rFonts w:ascii="Arial" w:hAnsi="Arial" w:cs="Arial"/>
          <w:sz w:val="22"/>
          <w:szCs w:val="22"/>
        </w:rPr>
        <w:t>a</w:t>
      </w:r>
      <w:r>
        <w:rPr>
          <w:rFonts w:ascii="Arial" w:hAnsi="Arial" w:cs="Arial"/>
          <w:sz w:val="22"/>
          <w:szCs w:val="22"/>
        </w:rPr>
        <w:t>)</w:t>
      </w:r>
      <w:r w:rsidRPr="00005162">
        <w:rPr>
          <w:rFonts w:ascii="Arial" w:hAnsi="Arial" w:cs="Arial"/>
          <w:sz w:val="22"/>
          <w:szCs w:val="22"/>
        </w:rPr>
        <w:t xml:space="preserve"> transfers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C – (b</w:t>
      </w:r>
      <w:r w:rsidRPr="00005162">
        <w:rPr>
          <w:rFonts w:ascii="Arial" w:hAnsi="Arial" w:cs="Arial"/>
          <w:sz w:val="22"/>
          <w:szCs w:val="22"/>
        </w:rPr>
        <w:t>b</w:t>
      </w:r>
      <w:r>
        <w:rPr>
          <w:rFonts w:ascii="Arial" w:hAnsi="Arial" w:cs="Arial"/>
          <w:sz w:val="22"/>
          <w:szCs w:val="22"/>
        </w:rPr>
        <w:t>)</w:t>
      </w:r>
      <w:r w:rsidRPr="00005162">
        <w:rPr>
          <w:rFonts w:ascii="Arial" w:hAnsi="Arial" w:cs="Arial"/>
          <w:sz w:val="22"/>
          <w:szCs w:val="22"/>
        </w:rPr>
        <w:t xml:space="preserve"> offset/</w:t>
      </w:r>
      <w:r>
        <w:rPr>
          <w:rFonts w:ascii="Arial" w:hAnsi="Arial" w:cs="Arial"/>
          <w:sz w:val="22"/>
          <w:szCs w:val="22"/>
        </w:rPr>
        <w:t>surrendered to NRF</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B – (c</w:t>
      </w:r>
      <w:r w:rsidRPr="00005162">
        <w:rPr>
          <w:rFonts w:ascii="Arial" w:hAnsi="Arial" w:cs="Arial"/>
          <w:sz w:val="22"/>
          <w:szCs w:val="22"/>
        </w:rPr>
        <w:t>c</w:t>
      </w:r>
      <w:r>
        <w:rPr>
          <w:rFonts w:ascii="Arial" w:hAnsi="Arial" w:cs="Arial"/>
          <w:sz w:val="22"/>
          <w:szCs w:val="22"/>
        </w:rPr>
        <w:t>)</w:t>
      </w:r>
      <w:r w:rsidRPr="00005162">
        <w:rPr>
          <w:rFonts w:ascii="Arial" w:hAnsi="Arial" w:cs="Arial"/>
          <w:sz w:val="22"/>
          <w:szCs w:val="22"/>
        </w:rPr>
        <w:t xml:space="preserve"> roll</w:t>
      </w:r>
      <w:r>
        <w:rPr>
          <w:rFonts w:ascii="Arial" w:hAnsi="Arial" w:cs="Arial"/>
          <w:sz w:val="22"/>
          <w:szCs w:val="22"/>
        </w:rPr>
        <w:t>-</w:t>
      </w:r>
      <w:r w:rsidRPr="00005162">
        <w:rPr>
          <w:rFonts w:ascii="Arial" w:hAnsi="Arial" w:cs="Arial"/>
          <w:sz w:val="22"/>
          <w:szCs w:val="22"/>
        </w:rPr>
        <w:t>overs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 xml:space="preserve">Annexure C - </w:t>
      </w:r>
      <w:r w:rsidRPr="00005162">
        <w:rPr>
          <w:rFonts w:ascii="Arial" w:hAnsi="Arial" w:cs="Arial"/>
          <w:sz w:val="22"/>
          <w:szCs w:val="22"/>
        </w:rPr>
        <w:t>(b)(iii) actual exp</w:t>
      </w:r>
      <w:r>
        <w:rPr>
          <w:rFonts w:ascii="Arial" w:hAnsi="Arial" w:cs="Arial"/>
          <w:sz w:val="22"/>
          <w:szCs w:val="22"/>
        </w:rPr>
        <w:t>enditure</w:t>
      </w:r>
      <w:r w:rsidRPr="00005162">
        <w:rPr>
          <w:rFonts w:ascii="Arial" w:hAnsi="Arial" w:cs="Arial"/>
          <w:sz w:val="22"/>
          <w:szCs w:val="22"/>
        </w:rPr>
        <w:t xml:space="preserve"> per each grant</w:t>
      </w:r>
    </w:p>
    <w:p w:rsidR="001520E8" w:rsidRPr="00005162" w:rsidRDefault="001520E8" w:rsidP="001520E8">
      <w:pPr>
        <w:tabs>
          <w:tab w:val="left" w:pos="432"/>
          <w:tab w:val="left" w:pos="864"/>
        </w:tabs>
        <w:spacing w:line="360" w:lineRule="auto"/>
        <w:ind w:firstLine="450"/>
        <w:jc w:val="both"/>
        <w:rPr>
          <w:rFonts w:ascii="Arial" w:hAnsi="Arial" w:cs="Arial"/>
          <w:sz w:val="22"/>
          <w:szCs w:val="22"/>
        </w:rPr>
      </w:pPr>
      <w:r w:rsidRPr="00005162">
        <w:rPr>
          <w:rFonts w:ascii="Arial" w:hAnsi="Arial" w:cs="Arial"/>
          <w:sz w:val="22"/>
          <w:szCs w:val="22"/>
        </w:rPr>
        <w:t>Annexure A - (b) (iv) allocations</w:t>
      </w:r>
    </w:p>
    <w:p w:rsidR="001520E8" w:rsidRDefault="001520E8" w:rsidP="001520E8">
      <w:pPr>
        <w:tabs>
          <w:tab w:val="left" w:pos="432"/>
          <w:tab w:val="left" w:pos="864"/>
        </w:tabs>
        <w:spacing w:line="360" w:lineRule="auto"/>
        <w:rPr>
          <w:rFonts w:ascii="Arial" w:hAnsi="Arial" w:cs="Arial"/>
          <w:b/>
          <w:sz w:val="22"/>
          <w:szCs w:val="22"/>
          <w:u w:val="single"/>
        </w:rPr>
      </w:pPr>
    </w:p>
    <w:p w:rsidR="001520E8" w:rsidRPr="0062717B" w:rsidRDefault="001520E8" w:rsidP="001520E8">
      <w:pPr>
        <w:tabs>
          <w:tab w:val="left" w:pos="432"/>
          <w:tab w:val="left" w:pos="864"/>
        </w:tabs>
        <w:spacing w:line="360" w:lineRule="auto"/>
        <w:rPr>
          <w:rFonts w:ascii="Arial" w:eastAsia="Calibri" w:hAnsi="Arial" w:cs="Arial"/>
          <w:b/>
          <w:sz w:val="22"/>
          <w:szCs w:val="22"/>
          <w:lang w:val="en-ZA"/>
        </w:rPr>
      </w:pPr>
      <w:r w:rsidRPr="001520E8">
        <w:rPr>
          <w:rFonts w:ascii="Arial" w:eastAsia="Calibri" w:hAnsi="Arial" w:cs="Arial"/>
          <w:sz w:val="22"/>
          <w:szCs w:val="22"/>
          <w:lang w:val="en-ZA"/>
        </w:rPr>
        <w:t>[(b), (i), (aa), (bb), (cc), (ii), (iii) and (iv)]</w:t>
      </w:r>
      <w:r>
        <w:rPr>
          <w:rFonts w:ascii="Arial" w:eastAsia="Calibri" w:hAnsi="Arial" w:cs="Arial"/>
          <w:b/>
          <w:sz w:val="22"/>
          <w:szCs w:val="22"/>
          <w:lang w:val="en-ZA"/>
        </w:rPr>
        <w:tab/>
      </w:r>
      <w:r>
        <w:rPr>
          <w:rFonts w:ascii="Arial" w:eastAsia="Calibri" w:hAnsi="Arial" w:cs="Arial"/>
          <w:b/>
          <w:sz w:val="22"/>
          <w:szCs w:val="22"/>
          <w:lang w:val="en-ZA"/>
        </w:rPr>
        <w:tab/>
      </w:r>
      <w:r>
        <w:rPr>
          <w:rFonts w:ascii="Arial" w:eastAsia="Calibri" w:hAnsi="Arial" w:cs="Arial"/>
          <w:b/>
          <w:sz w:val="22"/>
          <w:szCs w:val="22"/>
          <w:lang w:val="en-ZA"/>
        </w:rPr>
        <w:tab/>
      </w:r>
      <w:r w:rsidRPr="001520E8">
        <w:rPr>
          <w:rFonts w:ascii="Arial" w:hAnsi="Arial" w:cs="Arial"/>
          <w:b/>
          <w:sz w:val="22"/>
          <w:szCs w:val="22"/>
        </w:rPr>
        <w:t xml:space="preserve"> </w:t>
      </w:r>
      <w:r w:rsidRPr="0062717B">
        <w:rPr>
          <w:rFonts w:ascii="Arial" w:hAnsi="Arial" w:cs="Arial"/>
          <w:b/>
          <w:sz w:val="22"/>
          <w:szCs w:val="22"/>
        </w:rPr>
        <w:t>201</w:t>
      </w:r>
      <w:r>
        <w:rPr>
          <w:rFonts w:ascii="Arial" w:hAnsi="Arial" w:cs="Arial"/>
          <w:b/>
          <w:sz w:val="22"/>
          <w:szCs w:val="22"/>
        </w:rPr>
        <w:t>5</w:t>
      </w:r>
      <w:r w:rsidRPr="0062717B">
        <w:rPr>
          <w:rFonts w:ascii="Arial" w:hAnsi="Arial" w:cs="Arial"/>
          <w:b/>
          <w:sz w:val="22"/>
          <w:szCs w:val="22"/>
        </w:rPr>
        <w:t>/1</w:t>
      </w:r>
      <w:r>
        <w:rPr>
          <w:rFonts w:ascii="Arial" w:hAnsi="Arial" w:cs="Arial"/>
          <w:b/>
          <w:sz w:val="22"/>
          <w:szCs w:val="22"/>
        </w:rPr>
        <w:t>6</w:t>
      </w:r>
      <w:r w:rsidRPr="0062717B">
        <w:rPr>
          <w:rFonts w:ascii="Arial" w:hAnsi="Arial" w:cs="Arial"/>
          <w:b/>
          <w:sz w:val="22"/>
          <w:szCs w:val="22"/>
        </w:rPr>
        <w:t xml:space="preserve"> Local Government Grants</w:t>
      </w:r>
    </w:p>
    <w:p w:rsidR="001520E8" w:rsidRDefault="001520E8" w:rsidP="001520E8">
      <w:pPr>
        <w:tabs>
          <w:tab w:val="left" w:pos="432"/>
          <w:tab w:val="left" w:pos="864"/>
        </w:tabs>
        <w:spacing w:line="360" w:lineRule="auto"/>
        <w:rPr>
          <w:rFonts w:ascii="Arial" w:hAnsi="Arial" w:cs="Arial"/>
          <w:b/>
          <w:sz w:val="22"/>
          <w:szCs w:val="22"/>
        </w:rPr>
      </w:pPr>
    </w:p>
    <w:p w:rsidR="001520E8" w:rsidRDefault="001520E8" w:rsidP="001520E8">
      <w:pPr>
        <w:tabs>
          <w:tab w:val="left" w:pos="432"/>
          <w:tab w:val="left" w:pos="864"/>
        </w:tabs>
        <w:spacing w:line="360" w:lineRule="auto"/>
        <w:jc w:val="both"/>
        <w:rPr>
          <w:rFonts w:ascii="Arial" w:hAnsi="Arial" w:cs="Arial"/>
          <w:sz w:val="22"/>
          <w:szCs w:val="22"/>
        </w:rPr>
      </w:pPr>
      <w:r>
        <w:rPr>
          <w:rFonts w:ascii="Arial" w:hAnsi="Arial" w:cs="Arial"/>
          <w:sz w:val="22"/>
          <w:szCs w:val="22"/>
        </w:rPr>
        <w:t>In 2015/16 municipalities were allocated R28 billion in various conditional grants and R27.7 billion was transferred to municipalities. Municipalities underspent on the transferred amount and as a result a total amount of R2.5 billion in different grants was requested by municipalities to be rolled over into the next financial year, however only R991.2 million was approved to be rolled over into the 2015/16 financial year, while R1.5 billion was unapproved.</w:t>
      </w:r>
    </w:p>
    <w:p w:rsidR="001520E8" w:rsidRDefault="001520E8" w:rsidP="001520E8">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jc w:val="both"/>
        <w:rPr>
          <w:rFonts w:ascii="Arial" w:hAnsi="Arial" w:cs="Arial"/>
          <w:sz w:val="22"/>
          <w:szCs w:val="22"/>
        </w:rPr>
      </w:pPr>
      <w:r>
        <w:rPr>
          <w:rFonts w:ascii="Arial" w:hAnsi="Arial" w:cs="Arial"/>
          <w:sz w:val="22"/>
          <w:szCs w:val="22"/>
        </w:rPr>
        <w:t xml:space="preserve">A total of R1.5 billion in unspent conditional grants was returned to the National Revenue Fund, a reduced amount than in 2014/15, and made up of unapproved roll-overs and unspent amounts that were never requested to be rolled over into the next financial year, but were unspent at the end of the financial year.                 </w:t>
      </w:r>
    </w:p>
    <w:p w:rsidR="001520E8" w:rsidRDefault="001520E8" w:rsidP="001520E8">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jc w:val="both"/>
        <w:rPr>
          <w:rFonts w:ascii="Arial" w:hAnsi="Arial" w:cs="Arial"/>
          <w:sz w:val="22"/>
          <w:szCs w:val="22"/>
        </w:rPr>
      </w:pPr>
      <w:r>
        <w:rPr>
          <w:rFonts w:ascii="Arial" w:hAnsi="Arial" w:cs="Arial"/>
          <w:sz w:val="22"/>
          <w:szCs w:val="22"/>
        </w:rPr>
        <w:lastRenderedPageBreak/>
        <w:t>The reasons for under expenditure vary, as seen from the roll-over requests submissions by municipalities, ranging from capacity constraints, poor planning, slow or late procurement, leadership issues, among others. There is of late disruptions to procurement and project implementation processes by local business forums demanding that 30 per cent of each project cost be procured from local entrepreneurs or SMME’s, which is not always possible due to most not meeting the qualifying criteria required to deliver on the projects needed to be implemented.</w:t>
      </w:r>
    </w:p>
    <w:p w:rsidR="001520E8" w:rsidRDefault="001520E8" w:rsidP="001520E8">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rPr>
          <w:rFonts w:ascii="Arial" w:hAnsi="Arial" w:cs="Arial"/>
          <w:b/>
          <w:sz w:val="22"/>
          <w:szCs w:val="22"/>
        </w:rPr>
      </w:pPr>
      <w:r>
        <w:rPr>
          <w:rFonts w:ascii="Arial" w:hAnsi="Arial" w:cs="Arial"/>
          <w:sz w:val="22"/>
          <w:szCs w:val="22"/>
        </w:rPr>
        <w:t>The detailed information on 2015/16 allocations, roll-overs and unspent amounts per grant are in the following annexures: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 xml:space="preserve">Annexure C - </w:t>
      </w:r>
      <w:r w:rsidRPr="00005162">
        <w:rPr>
          <w:rFonts w:ascii="Arial" w:hAnsi="Arial" w:cs="Arial"/>
          <w:sz w:val="22"/>
          <w:szCs w:val="22"/>
        </w:rPr>
        <w:t>(b)(i) exp</w:t>
      </w:r>
      <w:r>
        <w:rPr>
          <w:rFonts w:ascii="Arial" w:hAnsi="Arial" w:cs="Arial"/>
          <w:sz w:val="22"/>
          <w:szCs w:val="22"/>
        </w:rPr>
        <w:t>enditure</w:t>
      </w:r>
      <w:r w:rsidRPr="00005162">
        <w:rPr>
          <w:rFonts w:ascii="Arial" w:hAnsi="Arial" w:cs="Arial"/>
          <w:sz w:val="22"/>
          <w:szCs w:val="22"/>
        </w:rPr>
        <w:t xml:space="preserve"> and underspending</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A – (a</w:t>
      </w:r>
      <w:r w:rsidRPr="00005162">
        <w:rPr>
          <w:rFonts w:ascii="Arial" w:hAnsi="Arial" w:cs="Arial"/>
          <w:sz w:val="22"/>
          <w:szCs w:val="22"/>
        </w:rPr>
        <w:t>a</w:t>
      </w:r>
      <w:r>
        <w:rPr>
          <w:rFonts w:ascii="Arial" w:hAnsi="Arial" w:cs="Arial"/>
          <w:sz w:val="22"/>
          <w:szCs w:val="22"/>
        </w:rPr>
        <w:t>)</w:t>
      </w:r>
      <w:r w:rsidRPr="00005162">
        <w:rPr>
          <w:rFonts w:ascii="Arial" w:hAnsi="Arial" w:cs="Arial"/>
          <w:sz w:val="22"/>
          <w:szCs w:val="22"/>
        </w:rPr>
        <w:t xml:space="preserve"> transfers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C – (b</w:t>
      </w:r>
      <w:r w:rsidRPr="00005162">
        <w:rPr>
          <w:rFonts w:ascii="Arial" w:hAnsi="Arial" w:cs="Arial"/>
          <w:sz w:val="22"/>
          <w:szCs w:val="22"/>
        </w:rPr>
        <w:t>b</w:t>
      </w:r>
      <w:r>
        <w:rPr>
          <w:rFonts w:ascii="Arial" w:hAnsi="Arial" w:cs="Arial"/>
          <w:sz w:val="22"/>
          <w:szCs w:val="22"/>
        </w:rPr>
        <w:t>)</w:t>
      </w:r>
      <w:r w:rsidRPr="00005162">
        <w:rPr>
          <w:rFonts w:ascii="Arial" w:hAnsi="Arial" w:cs="Arial"/>
          <w:sz w:val="22"/>
          <w:szCs w:val="22"/>
        </w:rPr>
        <w:t xml:space="preserve"> offset/</w:t>
      </w:r>
      <w:r>
        <w:rPr>
          <w:rFonts w:ascii="Arial" w:hAnsi="Arial" w:cs="Arial"/>
          <w:sz w:val="22"/>
          <w:szCs w:val="22"/>
        </w:rPr>
        <w:t>surrendered to NRF</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B – (c</w:t>
      </w:r>
      <w:r w:rsidRPr="00005162">
        <w:rPr>
          <w:rFonts w:ascii="Arial" w:hAnsi="Arial" w:cs="Arial"/>
          <w:sz w:val="22"/>
          <w:szCs w:val="22"/>
        </w:rPr>
        <w:t>c</w:t>
      </w:r>
      <w:r>
        <w:rPr>
          <w:rFonts w:ascii="Arial" w:hAnsi="Arial" w:cs="Arial"/>
          <w:sz w:val="22"/>
          <w:szCs w:val="22"/>
        </w:rPr>
        <w:t>)</w:t>
      </w:r>
      <w:r w:rsidRPr="00005162">
        <w:rPr>
          <w:rFonts w:ascii="Arial" w:hAnsi="Arial" w:cs="Arial"/>
          <w:sz w:val="22"/>
          <w:szCs w:val="22"/>
        </w:rPr>
        <w:t xml:space="preserve"> roll</w:t>
      </w:r>
      <w:r>
        <w:rPr>
          <w:rFonts w:ascii="Arial" w:hAnsi="Arial" w:cs="Arial"/>
          <w:sz w:val="22"/>
          <w:szCs w:val="22"/>
        </w:rPr>
        <w:t>-</w:t>
      </w:r>
      <w:r w:rsidRPr="00005162">
        <w:rPr>
          <w:rFonts w:ascii="Arial" w:hAnsi="Arial" w:cs="Arial"/>
          <w:sz w:val="22"/>
          <w:szCs w:val="22"/>
        </w:rPr>
        <w:t>overs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 xml:space="preserve">Annexure C - </w:t>
      </w:r>
      <w:r w:rsidRPr="00005162">
        <w:rPr>
          <w:rFonts w:ascii="Arial" w:hAnsi="Arial" w:cs="Arial"/>
          <w:sz w:val="22"/>
          <w:szCs w:val="22"/>
        </w:rPr>
        <w:t>(b)(iii) actual exp</w:t>
      </w:r>
      <w:r>
        <w:rPr>
          <w:rFonts w:ascii="Arial" w:hAnsi="Arial" w:cs="Arial"/>
          <w:sz w:val="22"/>
          <w:szCs w:val="22"/>
        </w:rPr>
        <w:t>enditure</w:t>
      </w:r>
      <w:r w:rsidRPr="00005162">
        <w:rPr>
          <w:rFonts w:ascii="Arial" w:hAnsi="Arial" w:cs="Arial"/>
          <w:sz w:val="22"/>
          <w:szCs w:val="22"/>
        </w:rPr>
        <w:t xml:space="preserve"> per each grant</w:t>
      </w:r>
    </w:p>
    <w:p w:rsidR="001520E8" w:rsidRPr="00005162" w:rsidRDefault="001520E8" w:rsidP="001520E8">
      <w:pPr>
        <w:tabs>
          <w:tab w:val="left" w:pos="432"/>
          <w:tab w:val="left" w:pos="864"/>
        </w:tabs>
        <w:spacing w:line="360" w:lineRule="auto"/>
        <w:ind w:firstLine="450"/>
        <w:jc w:val="both"/>
        <w:rPr>
          <w:rFonts w:ascii="Arial" w:hAnsi="Arial" w:cs="Arial"/>
          <w:sz w:val="22"/>
          <w:szCs w:val="22"/>
        </w:rPr>
      </w:pPr>
      <w:r w:rsidRPr="00005162">
        <w:rPr>
          <w:rFonts w:ascii="Arial" w:hAnsi="Arial" w:cs="Arial"/>
          <w:sz w:val="22"/>
          <w:szCs w:val="22"/>
        </w:rPr>
        <w:t>Annexure A - (b) (iv) allocations</w:t>
      </w:r>
    </w:p>
    <w:p w:rsidR="001520E8" w:rsidRDefault="001520E8" w:rsidP="001520E8">
      <w:pPr>
        <w:tabs>
          <w:tab w:val="left" w:pos="432"/>
          <w:tab w:val="left" w:pos="864"/>
        </w:tabs>
        <w:spacing w:line="360" w:lineRule="auto"/>
        <w:rPr>
          <w:rFonts w:ascii="Arial" w:hAnsi="Arial" w:cs="Arial"/>
          <w:b/>
          <w:sz w:val="22"/>
          <w:szCs w:val="22"/>
        </w:rPr>
      </w:pPr>
    </w:p>
    <w:p w:rsidR="001520E8" w:rsidRPr="0062717B" w:rsidRDefault="001520E8" w:rsidP="001520E8">
      <w:pPr>
        <w:tabs>
          <w:tab w:val="left" w:pos="432"/>
          <w:tab w:val="left" w:pos="864"/>
        </w:tabs>
        <w:spacing w:line="360" w:lineRule="auto"/>
        <w:rPr>
          <w:rFonts w:ascii="Arial" w:eastAsia="Calibri" w:hAnsi="Arial" w:cs="Arial"/>
          <w:b/>
          <w:sz w:val="22"/>
          <w:szCs w:val="22"/>
          <w:lang w:val="en-ZA"/>
        </w:rPr>
      </w:pPr>
      <w:r w:rsidRPr="001520E8">
        <w:rPr>
          <w:rFonts w:ascii="Arial" w:eastAsia="Calibri" w:hAnsi="Arial" w:cs="Arial"/>
          <w:sz w:val="22"/>
          <w:szCs w:val="22"/>
          <w:lang w:val="en-ZA"/>
        </w:rPr>
        <w:t>[(b), (i), (aa), (bb), (cc), (ii), (iii) and (iv)]</w:t>
      </w:r>
      <w:r>
        <w:rPr>
          <w:rFonts w:ascii="Arial" w:eastAsia="Calibri" w:hAnsi="Arial" w:cs="Arial"/>
          <w:b/>
          <w:sz w:val="22"/>
          <w:szCs w:val="22"/>
          <w:lang w:val="en-ZA"/>
        </w:rPr>
        <w:tab/>
      </w:r>
      <w:r>
        <w:rPr>
          <w:rFonts w:ascii="Arial" w:eastAsia="Calibri" w:hAnsi="Arial" w:cs="Arial"/>
          <w:b/>
          <w:sz w:val="22"/>
          <w:szCs w:val="22"/>
          <w:lang w:val="en-ZA"/>
        </w:rPr>
        <w:tab/>
      </w:r>
      <w:r>
        <w:rPr>
          <w:rFonts w:ascii="Arial" w:eastAsia="Calibri" w:hAnsi="Arial" w:cs="Arial"/>
          <w:b/>
          <w:sz w:val="22"/>
          <w:szCs w:val="22"/>
          <w:lang w:val="en-ZA"/>
        </w:rPr>
        <w:tab/>
      </w:r>
      <w:r w:rsidRPr="006009D1">
        <w:rPr>
          <w:rFonts w:ascii="Arial" w:hAnsi="Arial" w:cs="Arial"/>
          <w:b/>
          <w:sz w:val="22"/>
          <w:szCs w:val="22"/>
        </w:rPr>
        <w:t>2016/17 Local Government Grants</w:t>
      </w:r>
      <w:r w:rsidRPr="0062717B">
        <w:rPr>
          <w:rFonts w:ascii="Arial" w:hAnsi="Arial" w:cs="Arial"/>
          <w:b/>
          <w:sz w:val="22"/>
          <w:szCs w:val="22"/>
        </w:rPr>
        <w:t xml:space="preserve"> </w:t>
      </w:r>
    </w:p>
    <w:p w:rsidR="001520E8" w:rsidRPr="006009D1" w:rsidRDefault="001520E8" w:rsidP="001520E8">
      <w:pPr>
        <w:tabs>
          <w:tab w:val="left" w:pos="432"/>
          <w:tab w:val="left" w:pos="864"/>
        </w:tabs>
        <w:spacing w:line="360" w:lineRule="auto"/>
        <w:rPr>
          <w:rFonts w:ascii="Arial" w:hAnsi="Arial" w:cs="Arial"/>
          <w:b/>
          <w:sz w:val="22"/>
          <w:szCs w:val="22"/>
        </w:rPr>
      </w:pPr>
    </w:p>
    <w:p w:rsidR="001520E8" w:rsidRPr="006009D1" w:rsidRDefault="001520E8" w:rsidP="001520E8">
      <w:pPr>
        <w:tabs>
          <w:tab w:val="left" w:pos="432"/>
          <w:tab w:val="left" w:pos="864"/>
        </w:tabs>
        <w:spacing w:line="360" w:lineRule="auto"/>
        <w:jc w:val="both"/>
        <w:rPr>
          <w:rFonts w:ascii="Arial" w:hAnsi="Arial" w:cs="Arial"/>
          <w:sz w:val="22"/>
          <w:szCs w:val="22"/>
        </w:rPr>
      </w:pPr>
      <w:r w:rsidRPr="006009D1">
        <w:rPr>
          <w:rFonts w:ascii="Arial" w:hAnsi="Arial" w:cs="Arial"/>
          <w:sz w:val="22"/>
          <w:szCs w:val="22"/>
        </w:rPr>
        <w:t xml:space="preserve">In 2016/17 municipalities were allocated R30 billion in various conditional grants and R29.7 billion was transferred to municipalities. Municipalities underspent on the transferred amount and as a result a total amount of R2.1 billion in different grants was requested by municipalities to be rolled over into the next financial year, </w:t>
      </w:r>
      <w:r>
        <w:rPr>
          <w:rFonts w:ascii="Arial" w:hAnsi="Arial" w:cs="Arial"/>
          <w:sz w:val="22"/>
          <w:szCs w:val="22"/>
        </w:rPr>
        <w:t>albeit a lesser amount than in the previous financial year. Of the total requested roll-over of R2.1 billion,</w:t>
      </w:r>
      <w:r w:rsidRPr="006009D1">
        <w:rPr>
          <w:rFonts w:ascii="Arial" w:hAnsi="Arial" w:cs="Arial"/>
          <w:sz w:val="22"/>
          <w:szCs w:val="22"/>
        </w:rPr>
        <w:t xml:space="preserve"> only R923.5 million was approved to be rolled over into the 2015/16 financial year, while R1.1 billion was unapproved.</w:t>
      </w:r>
    </w:p>
    <w:p w:rsidR="001520E8" w:rsidRPr="00F715A3" w:rsidRDefault="001520E8" w:rsidP="001520E8">
      <w:pPr>
        <w:tabs>
          <w:tab w:val="left" w:pos="432"/>
          <w:tab w:val="left" w:pos="864"/>
        </w:tabs>
        <w:spacing w:line="360" w:lineRule="auto"/>
        <w:jc w:val="both"/>
        <w:rPr>
          <w:rFonts w:ascii="Arial" w:hAnsi="Arial" w:cs="Arial"/>
          <w:sz w:val="22"/>
          <w:szCs w:val="22"/>
          <w:highlight w:val="yellow"/>
        </w:rPr>
      </w:pPr>
    </w:p>
    <w:p w:rsidR="001520E8" w:rsidRDefault="001520E8" w:rsidP="001520E8">
      <w:pPr>
        <w:tabs>
          <w:tab w:val="left" w:pos="432"/>
          <w:tab w:val="left" w:pos="864"/>
        </w:tabs>
        <w:spacing w:line="360" w:lineRule="auto"/>
        <w:jc w:val="both"/>
        <w:rPr>
          <w:rFonts w:ascii="Arial" w:hAnsi="Arial" w:cs="Arial"/>
          <w:sz w:val="22"/>
          <w:szCs w:val="22"/>
        </w:rPr>
      </w:pPr>
      <w:r w:rsidRPr="006009D1">
        <w:rPr>
          <w:rFonts w:ascii="Arial" w:hAnsi="Arial" w:cs="Arial"/>
          <w:sz w:val="22"/>
          <w:szCs w:val="22"/>
        </w:rPr>
        <w:t>A total of R1.4 billion in unspent conditional grants was returned to the National Revenue Fund</w:t>
      </w:r>
      <w:r>
        <w:rPr>
          <w:rFonts w:ascii="Arial" w:hAnsi="Arial" w:cs="Arial"/>
          <w:sz w:val="22"/>
          <w:szCs w:val="22"/>
        </w:rPr>
        <w:t xml:space="preserve"> (R1.5 billion in 2015/16)</w:t>
      </w:r>
      <w:r w:rsidRPr="006009D1">
        <w:rPr>
          <w:rFonts w:ascii="Arial" w:hAnsi="Arial" w:cs="Arial"/>
          <w:sz w:val="22"/>
          <w:szCs w:val="22"/>
        </w:rPr>
        <w:t xml:space="preserve">, this was made up of unapproved roll-overs and unspent amounts that were never requested to be rolled over into the next financial year, but were unspent at the end of the financial year. </w:t>
      </w:r>
    </w:p>
    <w:p w:rsidR="001520E8" w:rsidRPr="006009D1" w:rsidRDefault="001520E8" w:rsidP="001520E8">
      <w:pPr>
        <w:tabs>
          <w:tab w:val="left" w:pos="432"/>
          <w:tab w:val="left" w:pos="864"/>
        </w:tabs>
        <w:spacing w:line="360" w:lineRule="auto"/>
        <w:jc w:val="both"/>
        <w:rPr>
          <w:rFonts w:ascii="Arial" w:hAnsi="Arial" w:cs="Arial"/>
          <w:sz w:val="22"/>
          <w:szCs w:val="22"/>
        </w:rPr>
      </w:pPr>
      <w:r w:rsidRPr="006009D1">
        <w:rPr>
          <w:rFonts w:ascii="Arial" w:hAnsi="Arial" w:cs="Arial"/>
          <w:sz w:val="22"/>
          <w:szCs w:val="22"/>
        </w:rPr>
        <w:t xml:space="preserve">The reasons for under expenditure vary, as seen from the roll-over requests submissions by municipalities, ranging from capacity constraints, poor planning, slow or late procurement, leadership issues, among others. There is of late disruptions to procurement and project implementation processes by local business forums demanding that 30 per cent of each project </w:t>
      </w:r>
      <w:r w:rsidRPr="006009D1">
        <w:rPr>
          <w:rFonts w:ascii="Arial" w:hAnsi="Arial" w:cs="Arial"/>
          <w:sz w:val="22"/>
          <w:szCs w:val="22"/>
        </w:rPr>
        <w:lastRenderedPageBreak/>
        <w:t>cost be procured from local entrepreneurs or SMME’s, which is not always possible due to most not meeting the qualifying criteria required to deliver on the projects needed to be implemented.</w:t>
      </w:r>
    </w:p>
    <w:p w:rsidR="001520E8" w:rsidRPr="006009D1" w:rsidRDefault="001520E8" w:rsidP="001520E8">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rPr>
          <w:rFonts w:ascii="Arial" w:hAnsi="Arial" w:cs="Arial"/>
          <w:b/>
          <w:sz w:val="22"/>
          <w:szCs w:val="22"/>
        </w:rPr>
      </w:pPr>
      <w:r w:rsidRPr="006009D1">
        <w:rPr>
          <w:rFonts w:ascii="Arial" w:hAnsi="Arial" w:cs="Arial"/>
          <w:sz w:val="22"/>
          <w:szCs w:val="22"/>
        </w:rPr>
        <w:t xml:space="preserve">The detailed information on allocations, roll-overs and unspent amounts per grant </w:t>
      </w:r>
      <w:r>
        <w:rPr>
          <w:rFonts w:ascii="Arial" w:hAnsi="Arial" w:cs="Arial"/>
          <w:sz w:val="22"/>
          <w:szCs w:val="22"/>
        </w:rPr>
        <w:t>are in the following annexures: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 xml:space="preserve">Annexure C - </w:t>
      </w:r>
      <w:r w:rsidRPr="00005162">
        <w:rPr>
          <w:rFonts w:ascii="Arial" w:hAnsi="Arial" w:cs="Arial"/>
          <w:sz w:val="22"/>
          <w:szCs w:val="22"/>
        </w:rPr>
        <w:t>(b)(i) exp</w:t>
      </w:r>
      <w:r>
        <w:rPr>
          <w:rFonts w:ascii="Arial" w:hAnsi="Arial" w:cs="Arial"/>
          <w:sz w:val="22"/>
          <w:szCs w:val="22"/>
        </w:rPr>
        <w:t>enditure</w:t>
      </w:r>
      <w:r w:rsidRPr="00005162">
        <w:rPr>
          <w:rFonts w:ascii="Arial" w:hAnsi="Arial" w:cs="Arial"/>
          <w:sz w:val="22"/>
          <w:szCs w:val="22"/>
        </w:rPr>
        <w:t xml:space="preserve"> and underspending</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A – (a</w:t>
      </w:r>
      <w:r w:rsidRPr="00005162">
        <w:rPr>
          <w:rFonts w:ascii="Arial" w:hAnsi="Arial" w:cs="Arial"/>
          <w:sz w:val="22"/>
          <w:szCs w:val="22"/>
        </w:rPr>
        <w:t>a</w:t>
      </w:r>
      <w:r>
        <w:rPr>
          <w:rFonts w:ascii="Arial" w:hAnsi="Arial" w:cs="Arial"/>
          <w:sz w:val="22"/>
          <w:szCs w:val="22"/>
        </w:rPr>
        <w:t>)</w:t>
      </w:r>
      <w:r w:rsidRPr="00005162">
        <w:rPr>
          <w:rFonts w:ascii="Arial" w:hAnsi="Arial" w:cs="Arial"/>
          <w:sz w:val="22"/>
          <w:szCs w:val="22"/>
        </w:rPr>
        <w:t xml:space="preserve"> transfers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C – (b</w:t>
      </w:r>
      <w:r w:rsidRPr="00005162">
        <w:rPr>
          <w:rFonts w:ascii="Arial" w:hAnsi="Arial" w:cs="Arial"/>
          <w:sz w:val="22"/>
          <w:szCs w:val="22"/>
        </w:rPr>
        <w:t>b</w:t>
      </w:r>
      <w:r>
        <w:rPr>
          <w:rFonts w:ascii="Arial" w:hAnsi="Arial" w:cs="Arial"/>
          <w:sz w:val="22"/>
          <w:szCs w:val="22"/>
        </w:rPr>
        <w:t>)</w:t>
      </w:r>
      <w:r w:rsidRPr="00005162">
        <w:rPr>
          <w:rFonts w:ascii="Arial" w:hAnsi="Arial" w:cs="Arial"/>
          <w:sz w:val="22"/>
          <w:szCs w:val="22"/>
        </w:rPr>
        <w:t xml:space="preserve"> offset/</w:t>
      </w:r>
      <w:r>
        <w:rPr>
          <w:rFonts w:ascii="Arial" w:hAnsi="Arial" w:cs="Arial"/>
          <w:sz w:val="22"/>
          <w:szCs w:val="22"/>
        </w:rPr>
        <w:t>surrendered to NRF</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Annexure B – (c</w:t>
      </w:r>
      <w:r w:rsidRPr="00005162">
        <w:rPr>
          <w:rFonts w:ascii="Arial" w:hAnsi="Arial" w:cs="Arial"/>
          <w:sz w:val="22"/>
          <w:szCs w:val="22"/>
        </w:rPr>
        <w:t>c</w:t>
      </w:r>
      <w:r>
        <w:rPr>
          <w:rFonts w:ascii="Arial" w:hAnsi="Arial" w:cs="Arial"/>
          <w:sz w:val="22"/>
          <w:szCs w:val="22"/>
        </w:rPr>
        <w:t>)</w:t>
      </w:r>
      <w:r w:rsidRPr="00005162">
        <w:rPr>
          <w:rFonts w:ascii="Arial" w:hAnsi="Arial" w:cs="Arial"/>
          <w:sz w:val="22"/>
          <w:szCs w:val="22"/>
        </w:rPr>
        <w:t xml:space="preserve"> roll</w:t>
      </w:r>
      <w:r>
        <w:rPr>
          <w:rFonts w:ascii="Arial" w:hAnsi="Arial" w:cs="Arial"/>
          <w:sz w:val="22"/>
          <w:szCs w:val="22"/>
        </w:rPr>
        <w:t>-</w:t>
      </w:r>
      <w:r w:rsidRPr="00005162">
        <w:rPr>
          <w:rFonts w:ascii="Arial" w:hAnsi="Arial" w:cs="Arial"/>
          <w:sz w:val="22"/>
          <w:szCs w:val="22"/>
        </w:rPr>
        <w:t>overs</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 xml:space="preserve">Refer to last paragraph above - </w:t>
      </w:r>
      <w:r w:rsidRPr="00005162">
        <w:rPr>
          <w:rFonts w:ascii="Arial" w:hAnsi="Arial" w:cs="Arial"/>
          <w:sz w:val="22"/>
          <w:szCs w:val="22"/>
        </w:rPr>
        <w:t>(b)(ii) why not spent per grant</w:t>
      </w:r>
    </w:p>
    <w:p w:rsidR="001520E8" w:rsidRPr="00005162" w:rsidRDefault="001520E8" w:rsidP="001520E8">
      <w:pPr>
        <w:tabs>
          <w:tab w:val="left" w:pos="432"/>
          <w:tab w:val="left" w:pos="864"/>
        </w:tabs>
        <w:spacing w:line="360" w:lineRule="auto"/>
        <w:ind w:firstLine="450"/>
        <w:rPr>
          <w:rFonts w:ascii="Arial" w:hAnsi="Arial" w:cs="Arial"/>
          <w:sz w:val="22"/>
          <w:szCs w:val="22"/>
        </w:rPr>
      </w:pPr>
      <w:r>
        <w:rPr>
          <w:rFonts w:ascii="Arial" w:hAnsi="Arial" w:cs="Arial"/>
          <w:sz w:val="22"/>
          <w:szCs w:val="22"/>
        </w:rPr>
        <w:t xml:space="preserve">Annexure C - </w:t>
      </w:r>
      <w:r w:rsidRPr="00005162">
        <w:rPr>
          <w:rFonts w:ascii="Arial" w:hAnsi="Arial" w:cs="Arial"/>
          <w:sz w:val="22"/>
          <w:szCs w:val="22"/>
        </w:rPr>
        <w:t>(b)(iii) actual exp</w:t>
      </w:r>
      <w:r>
        <w:rPr>
          <w:rFonts w:ascii="Arial" w:hAnsi="Arial" w:cs="Arial"/>
          <w:sz w:val="22"/>
          <w:szCs w:val="22"/>
        </w:rPr>
        <w:t>enditure</w:t>
      </w:r>
      <w:r w:rsidRPr="00005162">
        <w:rPr>
          <w:rFonts w:ascii="Arial" w:hAnsi="Arial" w:cs="Arial"/>
          <w:sz w:val="22"/>
          <w:szCs w:val="22"/>
        </w:rPr>
        <w:t xml:space="preserve"> per each grant</w:t>
      </w:r>
    </w:p>
    <w:p w:rsidR="001520E8" w:rsidRPr="00005162" w:rsidRDefault="001520E8" w:rsidP="001520E8">
      <w:pPr>
        <w:tabs>
          <w:tab w:val="left" w:pos="432"/>
          <w:tab w:val="left" w:pos="864"/>
        </w:tabs>
        <w:spacing w:line="360" w:lineRule="auto"/>
        <w:ind w:firstLine="450"/>
        <w:jc w:val="both"/>
        <w:rPr>
          <w:rFonts w:ascii="Arial" w:hAnsi="Arial" w:cs="Arial"/>
          <w:sz w:val="22"/>
          <w:szCs w:val="22"/>
        </w:rPr>
      </w:pPr>
      <w:r w:rsidRPr="00005162">
        <w:rPr>
          <w:rFonts w:ascii="Arial" w:hAnsi="Arial" w:cs="Arial"/>
          <w:sz w:val="22"/>
          <w:szCs w:val="22"/>
        </w:rPr>
        <w:t>Annexure A - (b) (iv) allocations</w:t>
      </w:r>
    </w:p>
    <w:p w:rsidR="001520E8" w:rsidRPr="00F715A3" w:rsidRDefault="001520E8" w:rsidP="001520E8">
      <w:pPr>
        <w:tabs>
          <w:tab w:val="left" w:pos="432"/>
          <w:tab w:val="left" w:pos="864"/>
        </w:tabs>
        <w:spacing w:line="360" w:lineRule="auto"/>
        <w:jc w:val="both"/>
        <w:rPr>
          <w:rFonts w:ascii="Arial" w:hAnsi="Arial" w:cs="Arial"/>
          <w:b/>
          <w:sz w:val="22"/>
          <w:szCs w:val="22"/>
          <w:highlight w:val="yellow"/>
          <w:u w:val="single"/>
        </w:rPr>
      </w:pPr>
    </w:p>
    <w:p w:rsidR="001520E8" w:rsidRPr="0062717B" w:rsidRDefault="001520E8" w:rsidP="001520E8">
      <w:pPr>
        <w:tabs>
          <w:tab w:val="left" w:pos="432"/>
          <w:tab w:val="left" w:pos="864"/>
        </w:tabs>
        <w:spacing w:line="360" w:lineRule="auto"/>
        <w:rPr>
          <w:rFonts w:ascii="Arial" w:eastAsia="Calibri" w:hAnsi="Arial" w:cs="Arial"/>
          <w:b/>
          <w:sz w:val="22"/>
          <w:szCs w:val="22"/>
          <w:lang w:val="en-ZA"/>
        </w:rPr>
      </w:pPr>
      <w:r w:rsidRPr="001520E8">
        <w:rPr>
          <w:rFonts w:ascii="Arial" w:hAnsi="Arial" w:cs="Arial"/>
          <w:sz w:val="22"/>
          <w:szCs w:val="22"/>
        </w:rPr>
        <w:t>[</w:t>
      </w:r>
      <w:r w:rsidRPr="001520E8">
        <w:rPr>
          <w:rFonts w:ascii="Arial" w:eastAsia="Calibri" w:hAnsi="Arial" w:cs="Arial"/>
          <w:sz w:val="22"/>
          <w:szCs w:val="22"/>
          <w:lang w:val="en-ZA"/>
        </w:rPr>
        <w:t>(b), (i), (aa), (bb), (cc), (ii), (iii) and (iv)]</w:t>
      </w:r>
      <w:r>
        <w:rPr>
          <w:rFonts w:ascii="Arial" w:eastAsia="Calibri" w:hAnsi="Arial" w:cs="Arial"/>
          <w:sz w:val="22"/>
          <w:szCs w:val="22"/>
          <w:lang w:val="en-ZA"/>
        </w:rPr>
        <w:tab/>
      </w:r>
      <w:r>
        <w:rPr>
          <w:rFonts w:ascii="Arial" w:eastAsia="Calibri" w:hAnsi="Arial" w:cs="Arial"/>
          <w:sz w:val="22"/>
          <w:szCs w:val="22"/>
          <w:lang w:val="en-ZA"/>
        </w:rPr>
        <w:tab/>
      </w:r>
      <w:r w:rsidR="00111971">
        <w:rPr>
          <w:rFonts w:ascii="Arial" w:eastAsia="Calibri" w:hAnsi="Arial" w:cs="Arial"/>
          <w:sz w:val="22"/>
          <w:szCs w:val="22"/>
          <w:lang w:val="en-ZA"/>
        </w:rPr>
        <w:tab/>
      </w:r>
      <w:r w:rsidRPr="004D5D0A">
        <w:rPr>
          <w:rFonts w:ascii="Arial" w:hAnsi="Arial" w:cs="Arial"/>
          <w:b/>
          <w:sz w:val="22"/>
          <w:szCs w:val="22"/>
        </w:rPr>
        <w:t>2017/18 Local Government Grants</w:t>
      </w:r>
    </w:p>
    <w:p w:rsidR="001520E8" w:rsidRPr="004D5D0A" w:rsidRDefault="001520E8" w:rsidP="001520E8">
      <w:pPr>
        <w:tabs>
          <w:tab w:val="left" w:pos="432"/>
          <w:tab w:val="left" w:pos="864"/>
        </w:tabs>
        <w:spacing w:line="360" w:lineRule="auto"/>
        <w:rPr>
          <w:rFonts w:ascii="Arial" w:hAnsi="Arial" w:cs="Arial"/>
          <w:b/>
          <w:sz w:val="22"/>
          <w:szCs w:val="22"/>
        </w:rPr>
      </w:pPr>
    </w:p>
    <w:p w:rsidR="001520E8" w:rsidRPr="004D5D0A" w:rsidRDefault="001520E8" w:rsidP="001520E8">
      <w:pPr>
        <w:tabs>
          <w:tab w:val="left" w:pos="432"/>
          <w:tab w:val="left" w:pos="864"/>
        </w:tabs>
        <w:spacing w:line="360" w:lineRule="auto"/>
        <w:jc w:val="both"/>
        <w:rPr>
          <w:rFonts w:ascii="Arial" w:hAnsi="Arial" w:cs="Arial"/>
          <w:sz w:val="22"/>
          <w:szCs w:val="22"/>
        </w:rPr>
      </w:pPr>
      <w:r w:rsidRPr="004D5D0A">
        <w:rPr>
          <w:rFonts w:ascii="Arial" w:hAnsi="Arial" w:cs="Arial"/>
          <w:sz w:val="22"/>
          <w:szCs w:val="22"/>
        </w:rPr>
        <w:t>In 2017/18 municipalities were allocated R32.4 billion in various conditional grants and R32 billion was transferred to municipalities. Municipalities underspent on the transferred amount and as a result a total amount of R3.2 billion in different grants was requested by municipalities to be rolled over into the next financial year, over R200 million and R700 million more than in 2014/15 and 2016/17 respectively. From the requested roll-over of R3.2 billion, a mere R904 million was approved to be rolled over into the 2015/16 financial year, however R2.3 billion was unapproved to be carried over into 2018/19.</w:t>
      </w:r>
    </w:p>
    <w:p w:rsidR="001520E8" w:rsidRPr="00F715A3" w:rsidRDefault="001520E8" w:rsidP="001520E8">
      <w:pPr>
        <w:tabs>
          <w:tab w:val="left" w:pos="432"/>
          <w:tab w:val="left" w:pos="864"/>
        </w:tabs>
        <w:spacing w:line="360" w:lineRule="auto"/>
        <w:jc w:val="both"/>
        <w:rPr>
          <w:rFonts w:ascii="Arial" w:hAnsi="Arial" w:cs="Arial"/>
          <w:sz w:val="22"/>
          <w:szCs w:val="22"/>
          <w:highlight w:val="yellow"/>
        </w:rPr>
      </w:pPr>
    </w:p>
    <w:p w:rsidR="001520E8" w:rsidRPr="004D5D0A" w:rsidRDefault="001520E8" w:rsidP="001520E8">
      <w:pPr>
        <w:tabs>
          <w:tab w:val="left" w:pos="432"/>
          <w:tab w:val="left" w:pos="864"/>
        </w:tabs>
        <w:spacing w:line="360" w:lineRule="auto"/>
        <w:jc w:val="both"/>
        <w:rPr>
          <w:rFonts w:ascii="Arial" w:hAnsi="Arial" w:cs="Arial"/>
          <w:sz w:val="22"/>
          <w:szCs w:val="22"/>
        </w:rPr>
      </w:pPr>
      <w:r w:rsidRPr="004D5D0A">
        <w:rPr>
          <w:rFonts w:ascii="Arial" w:hAnsi="Arial" w:cs="Arial"/>
          <w:sz w:val="22"/>
          <w:szCs w:val="22"/>
        </w:rPr>
        <w:t>A total amount of R3.6 billion in unspent conditional grants was returned to the National Revenue Fund, this was made up of unapproved roll-overs and unspent amounts that were never requested to be rolled over into the next financial year, but were unspent at the end of the financial year. The reasons for under expenditure vary, as seen from the roll-over requests submissions by municipalities, ranging from capacity constraints, poor planning, slow or late procurement, leadership issues, among others. There is of late disruptions to procurement and project implementation processes by local business forums demanding that 30 per cent of each project cost be procured from local entrepreneurs or SMME’s, which is not always possible due to most not meeting the qualifying criteria required to deliver on the projects needed to be implemented.</w:t>
      </w:r>
    </w:p>
    <w:p w:rsidR="001520E8" w:rsidRPr="004D5D0A" w:rsidRDefault="001520E8" w:rsidP="001520E8">
      <w:pPr>
        <w:tabs>
          <w:tab w:val="left" w:pos="432"/>
          <w:tab w:val="left" w:pos="864"/>
        </w:tabs>
        <w:spacing w:line="360" w:lineRule="auto"/>
        <w:jc w:val="both"/>
        <w:rPr>
          <w:rFonts w:ascii="Arial" w:hAnsi="Arial" w:cs="Arial"/>
          <w:sz w:val="22"/>
          <w:szCs w:val="22"/>
        </w:rPr>
      </w:pPr>
    </w:p>
    <w:p w:rsidR="001520E8" w:rsidRDefault="001520E8" w:rsidP="001520E8">
      <w:pPr>
        <w:tabs>
          <w:tab w:val="left" w:pos="432"/>
          <w:tab w:val="left" w:pos="864"/>
        </w:tabs>
        <w:spacing w:line="360" w:lineRule="auto"/>
        <w:rPr>
          <w:rFonts w:ascii="Arial" w:hAnsi="Arial" w:cs="Arial"/>
          <w:b/>
          <w:sz w:val="22"/>
          <w:szCs w:val="22"/>
        </w:rPr>
      </w:pPr>
      <w:r w:rsidRPr="004D5D0A">
        <w:rPr>
          <w:rFonts w:ascii="Arial" w:hAnsi="Arial" w:cs="Arial"/>
          <w:sz w:val="22"/>
          <w:szCs w:val="22"/>
        </w:rPr>
        <w:lastRenderedPageBreak/>
        <w:t xml:space="preserve">The detailed information on allocations, roll-overs and unspent amounts per grant </w:t>
      </w:r>
      <w:r>
        <w:rPr>
          <w:rFonts w:ascii="Arial" w:hAnsi="Arial" w:cs="Arial"/>
          <w:sz w:val="22"/>
          <w:szCs w:val="22"/>
        </w:rPr>
        <w:t>are in the following annexures:</w:t>
      </w:r>
    </w:p>
    <w:p w:rsidR="001520E8" w:rsidRPr="00005162" w:rsidRDefault="001520E8" w:rsidP="00273C20">
      <w:pPr>
        <w:tabs>
          <w:tab w:val="left" w:pos="450"/>
          <w:tab w:val="left" w:pos="864"/>
        </w:tabs>
        <w:spacing w:line="360" w:lineRule="auto"/>
        <w:ind w:firstLine="450"/>
        <w:rPr>
          <w:rFonts w:ascii="Arial" w:hAnsi="Arial" w:cs="Arial"/>
          <w:sz w:val="22"/>
          <w:szCs w:val="22"/>
        </w:rPr>
      </w:pPr>
      <w:r>
        <w:rPr>
          <w:rFonts w:ascii="Arial" w:hAnsi="Arial" w:cs="Arial"/>
          <w:sz w:val="22"/>
          <w:szCs w:val="22"/>
        </w:rPr>
        <w:t xml:space="preserve">Annexure C - </w:t>
      </w:r>
      <w:r w:rsidRPr="00005162">
        <w:rPr>
          <w:rFonts w:ascii="Arial" w:hAnsi="Arial" w:cs="Arial"/>
          <w:sz w:val="22"/>
          <w:szCs w:val="22"/>
        </w:rPr>
        <w:t>(b)(i) exp</w:t>
      </w:r>
      <w:r>
        <w:rPr>
          <w:rFonts w:ascii="Arial" w:hAnsi="Arial" w:cs="Arial"/>
          <w:sz w:val="22"/>
          <w:szCs w:val="22"/>
        </w:rPr>
        <w:t>enditure</w:t>
      </w:r>
      <w:r w:rsidRPr="00005162">
        <w:rPr>
          <w:rFonts w:ascii="Arial" w:hAnsi="Arial" w:cs="Arial"/>
          <w:sz w:val="22"/>
          <w:szCs w:val="22"/>
        </w:rPr>
        <w:t xml:space="preserve"> and underspending</w:t>
      </w:r>
    </w:p>
    <w:p w:rsidR="001520E8" w:rsidRPr="00005162" w:rsidRDefault="001520E8" w:rsidP="00273C20">
      <w:pPr>
        <w:tabs>
          <w:tab w:val="left" w:pos="450"/>
          <w:tab w:val="left" w:pos="864"/>
        </w:tabs>
        <w:spacing w:line="360" w:lineRule="auto"/>
        <w:ind w:firstLine="450"/>
        <w:rPr>
          <w:rFonts w:ascii="Arial" w:hAnsi="Arial" w:cs="Arial"/>
          <w:sz w:val="22"/>
          <w:szCs w:val="22"/>
        </w:rPr>
      </w:pPr>
      <w:r>
        <w:rPr>
          <w:rFonts w:ascii="Arial" w:hAnsi="Arial" w:cs="Arial"/>
          <w:sz w:val="22"/>
          <w:szCs w:val="22"/>
        </w:rPr>
        <w:t>Annexure A – (a</w:t>
      </w:r>
      <w:r w:rsidRPr="00005162">
        <w:rPr>
          <w:rFonts w:ascii="Arial" w:hAnsi="Arial" w:cs="Arial"/>
          <w:sz w:val="22"/>
          <w:szCs w:val="22"/>
        </w:rPr>
        <w:t>a</w:t>
      </w:r>
      <w:r>
        <w:rPr>
          <w:rFonts w:ascii="Arial" w:hAnsi="Arial" w:cs="Arial"/>
          <w:sz w:val="22"/>
          <w:szCs w:val="22"/>
        </w:rPr>
        <w:t>)</w:t>
      </w:r>
      <w:r w:rsidRPr="00005162">
        <w:rPr>
          <w:rFonts w:ascii="Arial" w:hAnsi="Arial" w:cs="Arial"/>
          <w:sz w:val="22"/>
          <w:szCs w:val="22"/>
        </w:rPr>
        <w:t xml:space="preserve"> transfers</w:t>
      </w:r>
    </w:p>
    <w:p w:rsidR="001520E8" w:rsidRPr="00005162" w:rsidRDefault="001520E8" w:rsidP="00273C20">
      <w:pPr>
        <w:tabs>
          <w:tab w:val="left" w:pos="450"/>
          <w:tab w:val="left" w:pos="864"/>
        </w:tabs>
        <w:spacing w:line="360" w:lineRule="auto"/>
        <w:ind w:firstLine="450"/>
        <w:rPr>
          <w:rFonts w:ascii="Arial" w:hAnsi="Arial" w:cs="Arial"/>
          <w:sz w:val="22"/>
          <w:szCs w:val="22"/>
        </w:rPr>
      </w:pPr>
      <w:r>
        <w:rPr>
          <w:rFonts w:ascii="Arial" w:hAnsi="Arial" w:cs="Arial"/>
          <w:sz w:val="22"/>
          <w:szCs w:val="22"/>
        </w:rPr>
        <w:t>Annexure C – (b</w:t>
      </w:r>
      <w:r w:rsidRPr="00005162">
        <w:rPr>
          <w:rFonts w:ascii="Arial" w:hAnsi="Arial" w:cs="Arial"/>
          <w:sz w:val="22"/>
          <w:szCs w:val="22"/>
        </w:rPr>
        <w:t>b</w:t>
      </w:r>
      <w:r>
        <w:rPr>
          <w:rFonts w:ascii="Arial" w:hAnsi="Arial" w:cs="Arial"/>
          <w:sz w:val="22"/>
          <w:szCs w:val="22"/>
        </w:rPr>
        <w:t>)</w:t>
      </w:r>
      <w:r w:rsidRPr="00005162">
        <w:rPr>
          <w:rFonts w:ascii="Arial" w:hAnsi="Arial" w:cs="Arial"/>
          <w:sz w:val="22"/>
          <w:szCs w:val="22"/>
        </w:rPr>
        <w:t xml:space="preserve"> offset/</w:t>
      </w:r>
      <w:r>
        <w:rPr>
          <w:rFonts w:ascii="Arial" w:hAnsi="Arial" w:cs="Arial"/>
          <w:sz w:val="22"/>
          <w:szCs w:val="22"/>
        </w:rPr>
        <w:t>surrendered to NRF</w:t>
      </w:r>
    </w:p>
    <w:p w:rsidR="001520E8" w:rsidRPr="00005162" w:rsidRDefault="001520E8" w:rsidP="00273C20">
      <w:pPr>
        <w:tabs>
          <w:tab w:val="left" w:pos="450"/>
          <w:tab w:val="left" w:pos="864"/>
        </w:tabs>
        <w:spacing w:line="360" w:lineRule="auto"/>
        <w:ind w:firstLine="450"/>
        <w:rPr>
          <w:rFonts w:ascii="Arial" w:hAnsi="Arial" w:cs="Arial"/>
          <w:sz w:val="22"/>
          <w:szCs w:val="22"/>
        </w:rPr>
      </w:pPr>
      <w:r>
        <w:rPr>
          <w:rFonts w:ascii="Arial" w:hAnsi="Arial" w:cs="Arial"/>
          <w:sz w:val="22"/>
          <w:szCs w:val="22"/>
        </w:rPr>
        <w:t>Annexure B – (c</w:t>
      </w:r>
      <w:r w:rsidRPr="00005162">
        <w:rPr>
          <w:rFonts w:ascii="Arial" w:hAnsi="Arial" w:cs="Arial"/>
          <w:sz w:val="22"/>
          <w:szCs w:val="22"/>
        </w:rPr>
        <w:t>c</w:t>
      </w:r>
      <w:r>
        <w:rPr>
          <w:rFonts w:ascii="Arial" w:hAnsi="Arial" w:cs="Arial"/>
          <w:sz w:val="22"/>
          <w:szCs w:val="22"/>
        </w:rPr>
        <w:t>)</w:t>
      </w:r>
      <w:r w:rsidRPr="00005162">
        <w:rPr>
          <w:rFonts w:ascii="Arial" w:hAnsi="Arial" w:cs="Arial"/>
          <w:sz w:val="22"/>
          <w:szCs w:val="22"/>
        </w:rPr>
        <w:t xml:space="preserve"> roll</w:t>
      </w:r>
      <w:r>
        <w:rPr>
          <w:rFonts w:ascii="Arial" w:hAnsi="Arial" w:cs="Arial"/>
          <w:sz w:val="22"/>
          <w:szCs w:val="22"/>
        </w:rPr>
        <w:t>-</w:t>
      </w:r>
      <w:r w:rsidRPr="00005162">
        <w:rPr>
          <w:rFonts w:ascii="Arial" w:hAnsi="Arial" w:cs="Arial"/>
          <w:sz w:val="22"/>
          <w:szCs w:val="22"/>
        </w:rPr>
        <w:t>overs</w:t>
      </w:r>
    </w:p>
    <w:p w:rsidR="001520E8" w:rsidRPr="00005162" w:rsidRDefault="001520E8" w:rsidP="00273C20">
      <w:pPr>
        <w:tabs>
          <w:tab w:val="left" w:pos="450"/>
          <w:tab w:val="left" w:pos="864"/>
        </w:tabs>
        <w:spacing w:line="360" w:lineRule="auto"/>
        <w:ind w:firstLine="450"/>
        <w:rPr>
          <w:rFonts w:ascii="Arial" w:hAnsi="Arial" w:cs="Arial"/>
          <w:sz w:val="22"/>
          <w:szCs w:val="22"/>
        </w:rPr>
      </w:pPr>
      <w:r>
        <w:rPr>
          <w:rFonts w:ascii="Arial" w:hAnsi="Arial" w:cs="Arial"/>
          <w:sz w:val="22"/>
          <w:szCs w:val="22"/>
        </w:rPr>
        <w:t xml:space="preserve">Annexure C - </w:t>
      </w:r>
      <w:r w:rsidRPr="00005162">
        <w:rPr>
          <w:rFonts w:ascii="Arial" w:hAnsi="Arial" w:cs="Arial"/>
          <w:sz w:val="22"/>
          <w:szCs w:val="22"/>
        </w:rPr>
        <w:t>(b)(iii) actual exp</w:t>
      </w:r>
      <w:r>
        <w:rPr>
          <w:rFonts w:ascii="Arial" w:hAnsi="Arial" w:cs="Arial"/>
          <w:sz w:val="22"/>
          <w:szCs w:val="22"/>
        </w:rPr>
        <w:t>enditure</w:t>
      </w:r>
      <w:r w:rsidRPr="00005162">
        <w:rPr>
          <w:rFonts w:ascii="Arial" w:hAnsi="Arial" w:cs="Arial"/>
          <w:sz w:val="22"/>
          <w:szCs w:val="22"/>
        </w:rPr>
        <w:t xml:space="preserve"> per each grant</w:t>
      </w:r>
    </w:p>
    <w:p w:rsidR="001520E8" w:rsidRDefault="001520E8" w:rsidP="00273C20">
      <w:pPr>
        <w:tabs>
          <w:tab w:val="left" w:pos="450"/>
          <w:tab w:val="left" w:pos="864"/>
        </w:tabs>
        <w:spacing w:line="360" w:lineRule="auto"/>
        <w:ind w:firstLine="450"/>
        <w:jc w:val="both"/>
        <w:rPr>
          <w:rFonts w:ascii="Arial" w:hAnsi="Arial" w:cs="Arial"/>
          <w:sz w:val="22"/>
          <w:szCs w:val="22"/>
        </w:rPr>
      </w:pPr>
      <w:r w:rsidRPr="00005162">
        <w:rPr>
          <w:rFonts w:ascii="Arial" w:hAnsi="Arial" w:cs="Arial"/>
          <w:sz w:val="22"/>
          <w:szCs w:val="22"/>
        </w:rPr>
        <w:t>Annexure A - (b) (iv) allocations</w:t>
      </w:r>
    </w:p>
    <w:p w:rsidR="001520E8" w:rsidRDefault="001520E8" w:rsidP="001520E8">
      <w:pPr>
        <w:tabs>
          <w:tab w:val="left" w:pos="432"/>
          <w:tab w:val="left" w:pos="864"/>
        </w:tabs>
        <w:spacing w:line="360" w:lineRule="auto"/>
        <w:jc w:val="both"/>
        <w:rPr>
          <w:rFonts w:ascii="Arial" w:hAnsi="Arial" w:cs="Arial"/>
          <w:sz w:val="22"/>
          <w:szCs w:val="22"/>
        </w:rPr>
      </w:pPr>
    </w:p>
    <w:p w:rsidR="001520E8" w:rsidRPr="00851353" w:rsidRDefault="001520E8" w:rsidP="001520E8">
      <w:pPr>
        <w:spacing w:line="360" w:lineRule="auto"/>
        <w:rPr>
          <w:rFonts w:ascii="Arial" w:hAnsi="Arial" w:cs="Arial"/>
          <w:b/>
          <w:i/>
          <w:sz w:val="22"/>
          <w:szCs w:val="22"/>
        </w:rPr>
      </w:pPr>
      <w:r w:rsidRPr="00851353">
        <w:rPr>
          <w:rFonts w:ascii="Arial" w:hAnsi="Arial" w:cs="Arial"/>
          <w:b/>
          <w:i/>
          <w:sz w:val="22"/>
          <w:szCs w:val="22"/>
        </w:rPr>
        <w:t>Kindly note that National Treasury has published the information (Allocation, Transfers, Expenditure and underspending) on the website</w:t>
      </w:r>
    </w:p>
    <w:p w:rsidR="00085F96" w:rsidRDefault="00085F96" w:rsidP="00005162">
      <w:pPr>
        <w:tabs>
          <w:tab w:val="left" w:pos="432"/>
          <w:tab w:val="left" w:pos="864"/>
        </w:tabs>
        <w:spacing w:line="360" w:lineRule="auto"/>
        <w:jc w:val="both"/>
        <w:rPr>
          <w:rFonts w:ascii="Arial" w:hAnsi="Arial" w:cs="Arial"/>
          <w:sz w:val="22"/>
          <w:szCs w:val="22"/>
        </w:rPr>
      </w:pPr>
    </w:p>
    <w:p w:rsidR="00085F96" w:rsidRDefault="00085F96" w:rsidP="00005162">
      <w:pPr>
        <w:tabs>
          <w:tab w:val="left" w:pos="432"/>
          <w:tab w:val="left" w:pos="864"/>
        </w:tabs>
        <w:spacing w:line="360" w:lineRule="auto"/>
        <w:jc w:val="both"/>
        <w:rPr>
          <w:rFonts w:ascii="Arial" w:hAnsi="Arial" w:cs="Arial"/>
          <w:sz w:val="22"/>
          <w:szCs w:val="22"/>
        </w:rPr>
      </w:pPr>
    </w:p>
    <w:p w:rsidR="00F266E0" w:rsidRPr="00F266E0" w:rsidRDefault="00F266E0" w:rsidP="00F266E0">
      <w:pPr>
        <w:rPr>
          <w:rFonts w:ascii="Arial" w:hAnsi="Arial" w:cs="Arial"/>
          <w:b/>
          <w:sz w:val="22"/>
          <w:szCs w:val="22"/>
        </w:rPr>
      </w:pPr>
      <w:r>
        <w:rPr>
          <w:rFonts w:ascii="Arial" w:hAnsi="Arial" w:cs="Arial"/>
          <w:sz w:val="22"/>
          <w:szCs w:val="22"/>
        </w:rPr>
        <w:object w:dxaOrig="1539"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Excel.Sheet.12" ShapeID="_x0000_i1025" DrawAspect="Icon" ObjectID="_1632299643" r:id="rId9"/>
        </w:object>
      </w:r>
      <w:r>
        <w:rPr>
          <w:rFonts w:ascii="Arial" w:hAnsi="Arial" w:cs="Arial"/>
          <w:sz w:val="22"/>
          <w:szCs w:val="22"/>
        </w:rPr>
        <w:object w:dxaOrig="1539" w:dyaOrig="995">
          <v:shape id="_x0000_i1026" type="#_x0000_t75" style="width:77.25pt;height:49.5pt" o:ole="">
            <v:imagedata r:id="rId10" o:title=""/>
          </v:shape>
          <o:OLEObject Type="Embed" ProgID="Excel.Sheet.12" ShapeID="_x0000_i1026" DrawAspect="Icon" ObjectID="_1632299644" r:id="rId11"/>
        </w:object>
      </w:r>
      <w:r>
        <w:rPr>
          <w:rFonts w:ascii="Arial" w:hAnsi="Arial" w:cs="Arial"/>
          <w:sz w:val="22"/>
          <w:szCs w:val="22"/>
        </w:rPr>
        <w:object w:dxaOrig="1539" w:dyaOrig="995">
          <v:shape id="_x0000_i1027" type="#_x0000_t75" style="width:77.25pt;height:49.5pt" o:ole="">
            <v:imagedata r:id="rId12" o:title=""/>
          </v:shape>
          <o:OLEObject Type="Embed" ProgID="Excel.Sheet.12" ShapeID="_x0000_i1027" DrawAspect="Icon" ObjectID="_1632299645" r:id="rId13"/>
        </w:object>
      </w:r>
      <w:r>
        <w:rPr>
          <w:rFonts w:ascii="Arial" w:hAnsi="Arial" w:cs="Arial"/>
          <w:sz w:val="22"/>
          <w:szCs w:val="22"/>
        </w:rPr>
        <w:object w:dxaOrig="1539" w:dyaOrig="995">
          <v:shape id="_x0000_i1028" type="#_x0000_t75" style="width:77.25pt;height:49.5pt" o:ole="">
            <v:imagedata r:id="rId14" o:title=""/>
          </v:shape>
          <o:OLEObject Type="Embed" ProgID="Excel.Sheet.12" ShapeID="_x0000_i1028" DrawAspect="Icon" ObjectID="_1632299646" r:id="rId15"/>
        </w:object>
      </w:r>
      <w:r>
        <w:rPr>
          <w:rFonts w:ascii="Arial" w:hAnsi="Arial" w:cs="Arial"/>
          <w:sz w:val="22"/>
          <w:szCs w:val="22"/>
        </w:rPr>
        <w:object w:dxaOrig="1539" w:dyaOrig="995">
          <v:shape id="_x0000_i1029" type="#_x0000_t75" style="width:77.25pt;height:49.5pt" o:ole="">
            <v:imagedata r:id="rId16" o:title=""/>
          </v:shape>
          <o:OLEObject Type="Embed" ProgID="Excel.Sheet.12" ShapeID="_x0000_i1029" DrawAspect="Icon" ObjectID="_1632299647" r:id="rId17"/>
        </w:object>
      </w:r>
      <w:r w:rsidR="00085F96">
        <w:rPr>
          <w:rFonts w:ascii="Arial" w:hAnsi="Arial" w:cs="Arial"/>
          <w:sz w:val="22"/>
          <w:szCs w:val="22"/>
        </w:rPr>
        <w:br w:type="page"/>
      </w: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F266E0" w:rsidRPr="00F266E0" w:rsidRDefault="00F266E0" w:rsidP="00F266E0">
      <w:pPr>
        <w:rPr>
          <w:rFonts w:ascii="Arial" w:hAnsi="Arial" w:cs="Arial"/>
          <w:sz w:val="22"/>
          <w:szCs w:val="22"/>
        </w:rPr>
      </w:pPr>
    </w:p>
    <w:p w:rsidR="00872105" w:rsidRPr="00F266E0" w:rsidRDefault="00872105" w:rsidP="00F266E0">
      <w:pPr>
        <w:tabs>
          <w:tab w:val="left" w:pos="1470"/>
        </w:tabs>
        <w:rPr>
          <w:rFonts w:ascii="Arial" w:hAnsi="Arial" w:cs="Arial"/>
          <w:sz w:val="22"/>
          <w:szCs w:val="22"/>
        </w:rPr>
      </w:pPr>
    </w:p>
    <w:sectPr w:rsidR="00872105" w:rsidRPr="00F266E0" w:rsidSect="004F43FB">
      <w:pgSz w:w="12240" w:h="15840" w:code="1"/>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6D8" w:rsidRDefault="00DB46D8" w:rsidP="00380E88">
      <w:r>
        <w:separator/>
      </w:r>
    </w:p>
  </w:endnote>
  <w:endnote w:type="continuationSeparator" w:id="0">
    <w:p w:rsidR="00DB46D8" w:rsidRDefault="00DB46D8" w:rsidP="0038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6D8" w:rsidRDefault="00DB46D8" w:rsidP="00380E88">
      <w:r>
        <w:separator/>
      </w:r>
    </w:p>
  </w:footnote>
  <w:footnote w:type="continuationSeparator" w:id="0">
    <w:p w:rsidR="00DB46D8" w:rsidRDefault="00DB46D8" w:rsidP="00380E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469A"/>
    <w:multiLevelType w:val="hybridMultilevel"/>
    <w:tmpl w:val="921CA30C"/>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 w15:restartNumberingAfterBreak="0">
    <w:nsid w:val="411B779C"/>
    <w:multiLevelType w:val="hybridMultilevel"/>
    <w:tmpl w:val="B82E44F2"/>
    <w:lvl w:ilvl="0" w:tplc="1C09000D">
      <w:start w:val="1"/>
      <w:numFmt w:val="bullet"/>
      <w:lvlText w:val=""/>
      <w:lvlJc w:val="left"/>
      <w:pPr>
        <w:ind w:left="1485" w:hanging="360"/>
      </w:pPr>
      <w:rPr>
        <w:rFonts w:ascii="Wingdings" w:hAnsi="Wingdings" w:hint="default"/>
      </w:rPr>
    </w:lvl>
    <w:lvl w:ilvl="1" w:tplc="1C090003">
      <w:start w:val="1"/>
      <w:numFmt w:val="bullet"/>
      <w:lvlText w:val="o"/>
      <w:lvlJc w:val="left"/>
      <w:pPr>
        <w:ind w:left="2205" w:hanging="360"/>
      </w:pPr>
      <w:rPr>
        <w:rFonts w:ascii="Courier New" w:hAnsi="Courier New" w:cs="Courier New" w:hint="default"/>
      </w:rPr>
    </w:lvl>
    <w:lvl w:ilvl="2" w:tplc="1C090005">
      <w:start w:val="1"/>
      <w:numFmt w:val="bullet"/>
      <w:lvlText w:val=""/>
      <w:lvlJc w:val="left"/>
      <w:pPr>
        <w:ind w:left="2925" w:hanging="360"/>
      </w:pPr>
      <w:rPr>
        <w:rFonts w:ascii="Wingdings" w:hAnsi="Wingdings" w:hint="default"/>
      </w:rPr>
    </w:lvl>
    <w:lvl w:ilvl="3" w:tplc="1C090001">
      <w:start w:val="1"/>
      <w:numFmt w:val="bullet"/>
      <w:lvlText w:val=""/>
      <w:lvlJc w:val="left"/>
      <w:pPr>
        <w:ind w:left="3645" w:hanging="360"/>
      </w:pPr>
      <w:rPr>
        <w:rFonts w:ascii="Symbol" w:hAnsi="Symbol" w:hint="default"/>
      </w:rPr>
    </w:lvl>
    <w:lvl w:ilvl="4" w:tplc="1C090003">
      <w:start w:val="1"/>
      <w:numFmt w:val="bullet"/>
      <w:lvlText w:val="o"/>
      <w:lvlJc w:val="left"/>
      <w:pPr>
        <w:ind w:left="4365" w:hanging="360"/>
      </w:pPr>
      <w:rPr>
        <w:rFonts w:ascii="Courier New" w:hAnsi="Courier New" w:cs="Courier New" w:hint="default"/>
      </w:rPr>
    </w:lvl>
    <w:lvl w:ilvl="5" w:tplc="1C090005">
      <w:start w:val="1"/>
      <w:numFmt w:val="bullet"/>
      <w:lvlText w:val=""/>
      <w:lvlJc w:val="left"/>
      <w:pPr>
        <w:ind w:left="5085" w:hanging="360"/>
      </w:pPr>
      <w:rPr>
        <w:rFonts w:ascii="Wingdings" w:hAnsi="Wingdings" w:hint="default"/>
      </w:rPr>
    </w:lvl>
    <w:lvl w:ilvl="6" w:tplc="1C090001">
      <w:start w:val="1"/>
      <w:numFmt w:val="bullet"/>
      <w:lvlText w:val=""/>
      <w:lvlJc w:val="left"/>
      <w:pPr>
        <w:ind w:left="5805" w:hanging="360"/>
      </w:pPr>
      <w:rPr>
        <w:rFonts w:ascii="Symbol" w:hAnsi="Symbol" w:hint="default"/>
      </w:rPr>
    </w:lvl>
    <w:lvl w:ilvl="7" w:tplc="1C090003">
      <w:start w:val="1"/>
      <w:numFmt w:val="bullet"/>
      <w:lvlText w:val="o"/>
      <w:lvlJc w:val="left"/>
      <w:pPr>
        <w:ind w:left="6525" w:hanging="360"/>
      </w:pPr>
      <w:rPr>
        <w:rFonts w:ascii="Courier New" w:hAnsi="Courier New" w:cs="Courier New" w:hint="default"/>
      </w:rPr>
    </w:lvl>
    <w:lvl w:ilvl="8" w:tplc="1C090005">
      <w:start w:val="1"/>
      <w:numFmt w:val="bullet"/>
      <w:lvlText w:val=""/>
      <w:lvlJc w:val="left"/>
      <w:pPr>
        <w:ind w:left="7245" w:hanging="360"/>
      </w:pPr>
      <w:rPr>
        <w:rFonts w:ascii="Wingdings" w:hAnsi="Wingdings" w:hint="default"/>
      </w:rPr>
    </w:lvl>
  </w:abstractNum>
  <w:abstractNum w:abstractNumId="2" w15:restartNumberingAfterBreak="0">
    <w:nsid w:val="45B02496"/>
    <w:multiLevelType w:val="hybridMultilevel"/>
    <w:tmpl w:val="F8128A2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50E76143"/>
    <w:multiLevelType w:val="hybridMultilevel"/>
    <w:tmpl w:val="57D2642E"/>
    <w:lvl w:ilvl="0" w:tplc="1C090001">
      <w:start w:val="1"/>
      <w:numFmt w:val="bullet"/>
      <w:lvlText w:val=""/>
      <w:lvlJc w:val="left"/>
      <w:pPr>
        <w:ind w:left="1770" w:hanging="360"/>
      </w:pPr>
      <w:rPr>
        <w:rFonts w:ascii="Symbol" w:hAnsi="Symbol" w:hint="default"/>
      </w:rPr>
    </w:lvl>
    <w:lvl w:ilvl="1" w:tplc="1C090003" w:tentative="1">
      <w:start w:val="1"/>
      <w:numFmt w:val="bullet"/>
      <w:lvlText w:val="o"/>
      <w:lvlJc w:val="left"/>
      <w:pPr>
        <w:ind w:left="2490" w:hanging="360"/>
      </w:pPr>
      <w:rPr>
        <w:rFonts w:ascii="Courier New" w:hAnsi="Courier New" w:cs="Courier New" w:hint="default"/>
      </w:rPr>
    </w:lvl>
    <w:lvl w:ilvl="2" w:tplc="1C090005" w:tentative="1">
      <w:start w:val="1"/>
      <w:numFmt w:val="bullet"/>
      <w:lvlText w:val=""/>
      <w:lvlJc w:val="left"/>
      <w:pPr>
        <w:ind w:left="3210" w:hanging="360"/>
      </w:pPr>
      <w:rPr>
        <w:rFonts w:ascii="Wingdings" w:hAnsi="Wingdings" w:hint="default"/>
      </w:rPr>
    </w:lvl>
    <w:lvl w:ilvl="3" w:tplc="1C090001" w:tentative="1">
      <w:start w:val="1"/>
      <w:numFmt w:val="bullet"/>
      <w:lvlText w:val=""/>
      <w:lvlJc w:val="left"/>
      <w:pPr>
        <w:ind w:left="3930" w:hanging="360"/>
      </w:pPr>
      <w:rPr>
        <w:rFonts w:ascii="Symbol" w:hAnsi="Symbol" w:hint="default"/>
      </w:rPr>
    </w:lvl>
    <w:lvl w:ilvl="4" w:tplc="1C090003" w:tentative="1">
      <w:start w:val="1"/>
      <w:numFmt w:val="bullet"/>
      <w:lvlText w:val="o"/>
      <w:lvlJc w:val="left"/>
      <w:pPr>
        <w:ind w:left="4650" w:hanging="360"/>
      </w:pPr>
      <w:rPr>
        <w:rFonts w:ascii="Courier New" w:hAnsi="Courier New" w:cs="Courier New" w:hint="default"/>
      </w:rPr>
    </w:lvl>
    <w:lvl w:ilvl="5" w:tplc="1C090005" w:tentative="1">
      <w:start w:val="1"/>
      <w:numFmt w:val="bullet"/>
      <w:lvlText w:val=""/>
      <w:lvlJc w:val="left"/>
      <w:pPr>
        <w:ind w:left="5370" w:hanging="360"/>
      </w:pPr>
      <w:rPr>
        <w:rFonts w:ascii="Wingdings" w:hAnsi="Wingdings" w:hint="default"/>
      </w:rPr>
    </w:lvl>
    <w:lvl w:ilvl="6" w:tplc="1C090001" w:tentative="1">
      <w:start w:val="1"/>
      <w:numFmt w:val="bullet"/>
      <w:lvlText w:val=""/>
      <w:lvlJc w:val="left"/>
      <w:pPr>
        <w:ind w:left="6090" w:hanging="360"/>
      </w:pPr>
      <w:rPr>
        <w:rFonts w:ascii="Symbol" w:hAnsi="Symbol" w:hint="default"/>
      </w:rPr>
    </w:lvl>
    <w:lvl w:ilvl="7" w:tplc="1C090003" w:tentative="1">
      <w:start w:val="1"/>
      <w:numFmt w:val="bullet"/>
      <w:lvlText w:val="o"/>
      <w:lvlJc w:val="left"/>
      <w:pPr>
        <w:ind w:left="6810" w:hanging="360"/>
      </w:pPr>
      <w:rPr>
        <w:rFonts w:ascii="Courier New" w:hAnsi="Courier New" w:cs="Courier New" w:hint="default"/>
      </w:rPr>
    </w:lvl>
    <w:lvl w:ilvl="8" w:tplc="1C090005" w:tentative="1">
      <w:start w:val="1"/>
      <w:numFmt w:val="bullet"/>
      <w:lvlText w:val=""/>
      <w:lvlJc w:val="left"/>
      <w:pPr>
        <w:ind w:left="7530" w:hanging="360"/>
      </w:pPr>
      <w:rPr>
        <w:rFonts w:ascii="Wingdings" w:hAnsi="Wingdings" w:hint="default"/>
      </w:rPr>
    </w:lvl>
  </w:abstractNum>
  <w:abstractNum w:abstractNumId="4" w15:restartNumberingAfterBreak="0">
    <w:nsid w:val="53291DEB"/>
    <w:multiLevelType w:val="hybridMultilevel"/>
    <w:tmpl w:val="DF76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66667"/>
    <w:multiLevelType w:val="hybridMultilevel"/>
    <w:tmpl w:val="102E25EA"/>
    <w:lvl w:ilvl="0" w:tplc="FED4B4E4">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63D361DC"/>
    <w:multiLevelType w:val="hybridMultilevel"/>
    <w:tmpl w:val="CAA0D7A2"/>
    <w:lvl w:ilvl="0" w:tplc="87EE5686">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7C5598"/>
    <w:multiLevelType w:val="hybridMultilevel"/>
    <w:tmpl w:val="74C068AA"/>
    <w:lvl w:ilvl="0" w:tplc="AEA8E43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A1447A9"/>
    <w:multiLevelType w:val="hybridMultilevel"/>
    <w:tmpl w:val="B3CAB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12C40"/>
    <w:multiLevelType w:val="hybridMultilevel"/>
    <w:tmpl w:val="90F230B0"/>
    <w:lvl w:ilvl="0" w:tplc="5D121180">
      <w:start w:val="1"/>
      <w:numFmt w:val="decimal"/>
      <w:lvlText w:val="%1."/>
      <w:lvlJc w:val="left"/>
      <w:pPr>
        <w:tabs>
          <w:tab w:val="num" w:pos="720"/>
        </w:tabs>
        <w:ind w:left="720" w:hanging="360"/>
      </w:pPr>
    </w:lvl>
    <w:lvl w:ilvl="1" w:tplc="C10EB5AA" w:tentative="1">
      <w:start w:val="1"/>
      <w:numFmt w:val="decimal"/>
      <w:lvlText w:val="%2."/>
      <w:lvlJc w:val="left"/>
      <w:pPr>
        <w:tabs>
          <w:tab w:val="num" w:pos="1440"/>
        </w:tabs>
        <w:ind w:left="1440" w:hanging="360"/>
      </w:pPr>
    </w:lvl>
    <w:lvl w:ilvl="2" w:tplc="AB7EA4CC" w:tentative="1">
      <w:start w:val="1"/>
      <w:numFmt w:val="decimal"/>
      <w:lvlText w:val="%3."/>
      <w:lvlJc w:val="left"/>
      <w:pPr>
        <w:tabs>
          <w:tab w:val="num" w:pos="2160"/>
        </w:tabs>
        <w:ind w:left="2160" w:hanging="360"/>
      </w:pPr>
    </w:lvl>
    <w:lvl w:ilvl="3" w:tplc="99364B2A" w:tentative="1">
      <w:start w:val="1"/>
      <w:numFmt w:val="decimal"/>
      <w:lvlText w:val="%4."/>
      <w:lvlJc w:val="left"/>
      <w:pPr>
        <w:tabs>
          <w:tab w:val="num" w:pos="2880"/>
        </w:tabs>
        <w:ind w:left="2880" w:hanging="360"/>
      </w:pPr>
    </w:lvl>
    <w:lvl w:ilvl="4" w:tplc="F56E1016" w:tentative="1">
      <w:start w:val="1"/>
      <w:numFmt w:val="decimal"/>
      <w:lvlText w:val="%5."/>
      <w:lvlJc w:val="left"/>
      <w:pPr>
        <w:tabs>
          <w:tab w:val="num" w:pos="3600"/>
        </w:tabs>
        <w:ind w:left="3600" w:hanging="360"/>
      </w:pPr>
    </w:lvl>
    <w:lvl w:ilvl="5" w:tplc="7EE69E20" w:tentative="1">
      <w:start w:val="1"/>
      <w:numFmt w:val="decimal"/>
      <w:lvlText w:val="%6."/>
      <w:lvlJc w:val="left"/>
      <w:pPr>
        <w:tabs>
          <w:tab w:val="num" w:pos="4320"/>
        </w:tabs>
        <w:ind w:left="4320" w:hanging="360"/>
      </w:pPr>
    </w:lvl>
    <w:lvl w:ilvl="6" w:tplc="E07EEBC0" w:tentative="1">
      <w:start w:val="1"/>
      <w:numFmt w:val="decimal"/>
      <w:lvlText w:val="%7."/>
      <w:lvlJc w:val="left"/>
      <w:pPr>
        <w:tabs>
          <w:tab w:val="num" w:pos="5040"/>
        </w:tabs>
        <w:ind w:left="5040" w:hanging="360"/>
      </w:pPr>
    </w:lvl>
    <w:lvl w:ilvl="7" w:tplc="E682A978" w:tentative="1">
      <w:start w:val="1"/>
      <w:numFmt w:val="decimal"/>
      <w:lvlText w:val="%8."/>
      <w:lvlJc w:val="left"/>
      <w:pPr>
        <w:tabs>
          <w:tab w:val="num" w:pos="5760"/>
        </w:tabs>
        <w:ind w:left="5760" w:hanging="360"/>
      </w:pPr>
    </w:lvl>
    <w:lvl w:ilvl="8" w:tplc="FCF60DF4" w:tentative="1">
      <w:start w:val="1"/>
      <w:numFmt w:val="decimal"/>
      <w:lvlText w:val="%9."/>
      <w:lvlJc w:val="left"/>
      <w:pPr>
        <w:tabs>
          <w:tab w:val="num" w:pos="6480"/>
        </w:tabs>
        <w:ind w:left="6480" w:hanging="360"/>
      </w:pPr>
    </w:lvl>
  </w:abstractNum>
  <w:abstractNum w:abstractNumId="10" w15:restartNumberingAfterBreak="0">
    <w:nsid w:val="7BC038E3"/>
    <w:multiLevelType w:val="hybridMultilevel"/>
    <w:tmpl w:val="1D78CB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F9E1957"/>
    <w:multiLevelType w:val="hybridMultilevel"/>
    <w:tmpl w:val="C41A8D20"/>
    <w:lvl w:ilvl="0" w:tplc="1C090001">
      <w:start w:val="1"/>
      <w:numFmt w:val="bullet"/>
      <w:lvlText w:val=""/>
      <w:lvlJc w:val="left"/>
      <w:pPr>
        <w:ind w:left="1845" w:hanging="360"/>
      </w:pPr>
      <w:rPr>
        <w:rFonts w:ascii="Symbol" w:hAnsi="Symbol" w:hint="default"/>
      </w:rPr>
    </w:lvl>
    <w:lvl w:ilvl="1" w:tplc="1C090003" w:tentative="1">
      <w:start w:val="1"/>
      <w:numFmt w:val="bullet"/>
      <w:lvlText w:val="o"/>
      <w:lvlJc w:val="left"/>
      <w:pPr>
        <w:ind w:left="2565" w:hanging="360"/>
      </w:pPr>
      <w:rPr>
        <w:rFonts w:ascii="Courier New" w:hAnsi="Courier New" w:cs="Courier New" w:hint="default"/>
      </w:rPr>
    </w:lvl>
    <w:lvl w:ilvl="2" w:tplc="1C090005" w:tentative="1">
      <w:start w:val="1"/>
      <w:numFmt w:val="bullet"/>
      <w:lvlText w:val=""/>
      <w:lvlJc w:val="left"/>
      <w:pPr>
        <w:ind w:left="3285" w:hanging="360"/>
      </w:pPr>
      <w:rPr>
        <w:rFonts w:ascii="Wingdings" w:hAnsi="Wingdings" w:hint="default"/>
      </w:rPr>
    </w:lvl>
    <w:lvl w:ilvl="3" w:tplc="1C090001" w:tentative="1">
      <w:start w:val="1"/>
      <w:numFmt w:val="bullet"/>
      <w:lvlText w:val=""/>
      <w:lvlJc w:val="left"/>
      <w:pPr>
        <w:ind w:left="4005" w:hanging="360"/>
      </w:pPr>
      <w:rPr>
        <w:rFonts w:ascii="Symbol" w:hAnsi="Symbol" w:hint="default"/>
      </w:rPr>
    </w:lvl>
    <w:lvl w:ilvl="4" w:tplc="1C090003" w:tentative="1">
      <w:start w:val="1"/>
      <w:numFmt w:val="bullet"/>
      <w:lvlText w:val="o"/>
      <w:lvlJc w:val="left"/>
      <w:pPr>
        <w:ind w:left="4725" w:hanging="360"/>
      </w:pPr>
      <w:rPr>
        <w:rFonts w:ascii="Courier New" w:hAnsi="Courier New" w:cs="Courier New" w:hint="default"/>
      </w:rPr>
    </w:lvl>
    <w:lvl w:ilvl="5" w:tplc="1C090005" w:tentative="1">
      <w:start w:val="1"/>
      <w:numFmt w:val="bullet"/>
      <w:lvlText w:val=""/>
      <w:lvlJc w:val="left"/>
      <w:pPr>
        <w:ind w:left="5445" w:hanging="360"/>
      </w:pPr>
      <w:rPr>
        <w:rFonts w:ascii="Wingdings" w:hAnsi="Wingdings" w:hint="default"/>
      </w:rPr>
    </w:lvl>
    <w:lvl w:ilvl="6" w:tplc="1C090001" w:tentative="1">
      <w:start w:val="1"/>
      <w:numFmt w:val="bullet"/>
      <w:lvlText w:val=""/>
      <w:lvlJc w:val="left"/>
      <w:pPr>
        <w:ind w:left="6165" w:hanging="360"/>
      </w:pPr>
      <w:rPr>
        <w:rFonts w:ascii="Symbol" w:hAnsi="Symbol" w:hint="default"/>
      </w:rPr>
    </w:lvl>
    <w:lvl w:ilvl="7" w:tplc="1C090003" w:tentative="1">
      <w:start w:val="1"/>
      <w:numFmt w:val="bullet"/>
      <w:lvlText w:val="o"/>
      <w:lvlJc w:val="left"/>
      <w:pPr>
        <w:ind w:left="6885" w:hanging="360"/>
      </w:pPr>
      <w:rPr>
        <w:rFonts w:ascii="Courier New" w:hAnsi="Courier New" w:cs="Courier New" w:hint="default"/>
      </w:rPr>
    </w:lvl>
    <w:lvl w:ilvl="8" w:tplc="1C090005" w:tentative="1">
      <w:start w:val="1"/>
      <w:numFmt w:val="bullet"/>
      <w:lvlText w:val=""/>
      <w:lvlJc w:val="left"/>
      <w:pPr>
        <w:ind w:left="7605"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0"/>
  </w:num>
  <w:num w:numId="6">
    <w:abstractNumId w:val="1"/>
  </w:num>
  <w:num w:numId="7">
    <w:abstractNumId w:val="1"/>
  </w:num>
  <w:num w:numId="8">
    <w:abstractNumId w:val="11"/>
  </w:num>
  <w:num w:numId="9">
    <w:abstractNumId w:val="0"/>
  </w:num>
  <w:num w:numId="10">
    <w:abstractNumId w:val="3"/>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28"/>
    <w:rsid w:val="00005162"/>
    <w:rsid w:val="000054AE"/>
    <w:rsid w:val="00011016"/>
    <w:rsid w:val="00012A82"/>
    <w:rsid w:val="00016A41"/>
    <w:rsid w:val="00020C04"/>
    <w:rsid w:val="00023BC3"/>
    <w:rsid w:val="0002634B"/>
    <w:rsid w:val="00041437"/>
    <w:rsid w:val="00042E4A"/>
    <w:rsid w:val="00053303"/>
    <w:rsid w:val="00060E09"/>
    <w:rsid w:val="00063E28"/>
    <w:rsid w:val="0008596C"/>
    <w:rsid w:val="00085F96"/>
    <w:rsid w:val="00087F29"/>
    <w:rsid w:val="000A3C32"/>
    <w:rsid w:val="000B16E9"/>
    <w:rsid w:val="000B555E"/>
    <w:rsid w:val="000C2BEF"/>
    <w:rsid w:val="000C3917"/>
    <w:rsid w:val="000C48D8"/>
    <w:rsid w:val="000D5DF7"/>
    <w:rsid w:val="000E1B36"/>
    <w:rsid w:val="000F3B14"/>
    <w:rsid w:val="000F5178"/>
    <w:rsid w:val="00110946"/>
    <w:rsid w:val="00111971"/>
    <w:rsid w:val="00112FF3"/>
    <w:rsid w:val="00122C88"/>
    <w:rsid w:val="00130348"/>
    <w:rsid w:val="00132CF0"/>
    <w:rsid w:val="001433AE"/>
    <w:rsid w:val="0014441E"/>
    <w:rsid w:val="001520E8"/>
    <w:rsid w:val="0015727B"/>
    <w:rsid w:val="00171BDC"/>
    <w:rsid w:val="00197576"/>
    <w:rsid w:val="001B0917"/>
    <w:rsid w:val="001B7F2A"/>
    <w:rsid w:val="001C1E62"/>
    <w:rsid w:val="001D4937"/>
    <w:rsid w:val="001E3FB5"/>
    <w:rsid w:val="001E6902"/>
    <w:rsid w:val="001F4B50"/>
    <w:rsid w:val="001F7560"/>
    <w:rsid w:val="002065BA"/>
    <w:rsid w:val="00207912"/>
    <w:rsid w:val="00223863"/>
    <w:rsid w:val="0022502D"/>
    <w:rsid w:val="00251791"/>
    <w:rsid w:val="00260251"/>
    <w:rsid w:val="00262F05"/>
    <w:rsid w:val="00273C20"/>
    <w:rsid w:val="002855CE"/>
    <w:rsid w:val="0028635F"/>
    <w:rsid w:val="002867DD"/>
    <w:rsid w:val="002927CD"/>
    <w:rsid w:val="002A4157"/>
    <w:rsid w:val="002B3B25"/>
    <w:rsid w:val="002B7345"/>
    <w:rsid w:val="002D499A"/>
    <w:rsid w:val="002E529F"/>
    <w:rsid w:val="002F6E86"/>
    <w:rsid w:val="00326CF2"/>
    <w:rsid w:val="003421BD"/>
    <w:rsid w:val="00344553"/>
    <w:rsid w:val="00346695"/>
    <w:rsid w:val="00351BF5"/>
    <w:rsid w:val="0037795E"/>
    <w:rsid w:val="00380E88"/>
    <w:rsid w:val="00393919"/>
    <w:rsid w:val="003A6BD5"/>
    <w:rsid w:val="003B0A2D"/>
    <w:rsid w:val="003E2711"/>
    <w:rsid w:val="003E6A8B"/>
    <w:rsid w:val="003F1329"/>
    <w:rsid w:val="003F6A56"/>
    <w:rsid w:val="00400699"/>
    <w:rsid w:val="00413ABE"/>
    <w:rsid w:val="00413C95"/>
    <w:rsid w:val="0043065E"/>
    <w:rsid w:val="00435EA2"/>
    <w:rsid w:val="00460E49"/>
    <w:rsid w:val="00463459"/>
    <w:rsid w:val="004651B9"/>
    <w:rsid w:val="004709BD"/>
    <w:rsid w:val="00472D86"/>
    <w:rsid w:val="00484737"/>
    <w:rsid w:val="00485B2E"/>
    <w:rsid w:val="00485F09"/>
    <w:rsid w:val="00496D69"/>
    <w:rsid w:val="00497807"/>
    <w:rsid w:val="004A078E"/>
    <w:rsid w:val="004B1526"/>
    <w:rsid w:val="004C57A4"/>
    <w:rsid w:val="004D3BF2"/>
    <w:rsid w:val="004D5D0A"/>
    <w:rsid w:val="004E035B"/>
    <w:rsid w:val="004F43FB"/>
    <w:rsid w:val="00503CF8"/>
    <w:rsid w:val="005141B3"/>
    <w:rsid w:val="00522B65"/>
    <w:rsid w:val="00532BB4"/>
    <w:rsid w:val="00533C35"/>
    <w:rsid w:val="005419FC"/>
    <w:rsid w:val="00547158"/>
    <w:rsid w:val="0055290F"/>
    <w:rsid w:val="00553EDC"/>
    <w:rsid w:val="00566101"/>
    <w:rsid w:val="005706F1"/>
    <w:rsid w:val="00574E19"/>
    <w:rsid w:val="00590FA2"/>
    <w:rsid w:val="005A4B7A"/>
    <w:rsid w:val="005C510D"/>
    <w:rsid w:val="005E21D9"/>
    <w:rsid w:val="005E32E0"/>
    <w:rsid w:val="005E415D"/>
    <w:rsid w:val="005F11A2"/>
    <w:rsid w:val="005F6B76"/>
    <w:rsid w:val="006009D1"/>
    <w:rsid w:val="00613FC6"/>
    <w:rsid w:val="006239F1"/>
    <w:rsid w:val="00624D20"/>
    <w:rsid w:val="0062717B"/>
    <w:rsid w:val="0062770E"/>
    <w:rsid w:val="0064275F"/>
    <w:rsid w:val="006466CC"/>
    <w:rsid w:val="00646E7C"/>
    <w:rsid w:val="00647EF2"/>
    <w:rsid w:val="00651616"/>
    <w:rsid w:val="00653A85"/>
    <w:rsid w:val="00675635"/>
    <w:rsid w:val="00685058"/>
    <w:rsid w:val="00685F0E"/>
    <w:rsid w:val="00692F45"/>
    <w:rsid w:val="00693A64"/>
    <w:rsid w:val="006B61B0"/>
    <w:rsid w:val="006D1766"/>
    <w:rsid w:val="006D1B36"/>
    <w:rsid w:val="006D2C61"/>
    <w:rsid w:val="006D2F61"/>
    <w:rsid w:val="007037BF"/>
    <w:rsid w:val="007118EA"/>
    <w:rsid w:val="00712E95"/>
    <w:rsid w:val="007146E8"/>
    <w:rsid w:val="00726A9C"/>
    <w:rsid w:val="007359BF"/>
    <w:rsid w:val="00743F26"/>
    <w:rsid w:val="00751942"/>
    <w:rsid w:val="007540E0"/>
    <w:rsid w:val="007544A8"/>
    <w:rsid w:val="0076668B"/>
    <w:rsid w:val="007749D9"/>
    <w:rsid w:val="00780F57"/>
    <w:rsid w:val="007914E0"/>
    <w:rsid w:val="007A32AF"/>
    <w:rsid w:val="007A78C0"/>
    <w:rsid w:val="007B1BA1"/>
    <w:rsid w:val="007C414F"/>
    <w:rsid w:val="007C44DF"/>
    <w:rsid w:val="007D4060"/>
    <w:rsid w:val="007E56A2"/>
    <w:rsid w:val="007F18AA"/>
    <w:rsid w:val="00800B54"/>
    <w:rsid w:val="00803AC4"/>
    <w:rsid w:val="00807B52"/>
    <w:rsid w:val="00812709"/>
    <w:rsid w:val="00813FF0"/>
    <w:rsid w:val="008223D4"/>
    <w:rsid w:val="008270A1"/>
    <w:rsid w:val="008321A4"/>
    <w:rsid w:val="0084121D"/>
    <w:rsid w:val="00851353"/>
    <w:rsid w:val="00852DC3"/>
    <w:rsid w:val="008631A7"/>
    <w:rsid w:val="00872105"/>
    <w:rsid w:val="00876CBB"/>
    <w:rsid w:val="00891265"/>
    <w:rsid w:val="00897498"/>
    <w:rsid w:val="00897F0B"/>
    <w:rsid w:val="008C2559"/>
    <w:rsid w:val="008E01C3"/>
    <w:rsid w:val="008E3D62"/>
    <w:rsid w:val="008E4142"/>
    <w:rsid w:val="008F2375"/>
    <w:rsid w:val="00900FF3"/>
    <w:rsid w:val="00910B58"/>
    <w:rsid w:val="00911717"/>
    <w:rsid w:val="009163A5"/>
    <w:rsid w:val="00917C44"/>
    <w:rsid w:val="009203A2"/>
    <w:rsid w:val="009508F2"/>
    <w:rsid w:val="00950F95"/>
    <w:rsid w:val="00953363"/>
    <w:rsid w:val="0096007E"/>
    <w:rsid w:val="00972601"/>
    <w:rsid w:val="0097786E"/>
    <w:rsid w:val="00987BC9"/>
    <w:rsid w:val="009A18A7"/>
    <w:rsid w:val="009C722E"/>
    <w:rsid w:val="009E1AB2"/>
    <w:rsid w:val="009E24E9"/>
    <w:rsid w:val="009F2646"/>
    <w:rsid w:val="00A02200"/>
    <w:rsid w:val="00A27843"/>
    <w:rsid w:val="00A45496"/>
    <w:rsid w:val="00A45FE5"/>
    <w:rsid w:val="00A51431"/>
    <w:rsid w:val="00A525F0"/>
    <w:rsid w:val="00A566A2"/>
    <w:rsid w:val="00A5731A"/>
    <w:rsid w:val="00A677C3"/>
    <w:rsid w:val="00A72B9B"/>
    <w:rsid w:val="00A75711"/>
    <w:rsid w:val="00A915AE"/>
    <w:rsid w:val="00AA4ED9"/>
    <w:rsid w:val="00AD00CE"/>
    <w:rsid w:val="00AD1B6E"/>
    <w:rsid w:val="00AD5C9B"/>
    <w:rsid w:val="00AE07DE"/>
    <w:rsid w:val="00AF127D"/>
    <w:rsid w:val="00B03AF4"/>
    <w:rsid w:val="00B03DD6"/>
    <w:rsid w:val="00B12CD6"/>
    <w:rsid w:val="00B20E37"/>
    <w:rsid w:val="00B31AAE"/>
    <w:rsid w:val="00B35E0C"/>
    <w:rsid w:val="00B447E6"/>
    <w:rsid w:val="00B5081C"/>
    <w:rsid w:val="00B50D0A"/>
    <w:rsid w:val="00B62882"/>
    <w:rsid w:val="00B65F8F"/>
    <w:rsid w:val="00B70C7B"/>
    <w:rsid w:val="00B716A6"/>
    <w:rsid w:val="00B75EBD"/>
    <w:rsid w:val="00B76831"/>
    <w:rsid w:val="00B77F67"/>
    <w:rsid w:val="00B81176"/>
    <w:rsid w:val="00B83501"/>
    <w:rsid w:val="00B913C7"/>
    <w:rsid w:val="00B95452"/>
    <w:rsid w:val="00B96B34"/>
    <w:rsid w:val="00BA517C"/>
    <w:rsid w:val="00BC0A3B"/>
    <w:rsid w:val="00BC17D8"/>
    <w:rsid w:val="00BC20F9"/>
    <w:rsid w:val="00BC3150"/>
    <w:rsid w:val="00BC4BEA"/>
    <w:rsid w:val="00BD31C6"/>
    <w:rsid w:val="00BE533B"/>
    <w:rsid w:val="00C06302"/>
    <w:rsid w:val="00C25C7E"/>
    <w:rsid w:val="00C312EA"/>
    <w:rsid w:val="00C375AF"/>
    <w:rsid w:val="00C44C35"/>
    <w:rsid w:val="00C472D6"/>
    <w:rsid w:val="00C60822"/>
    <w:rsid w:val="00C81C73"/>
    <w:rsid w:val="00C87C5C"/>
    <w:rsid w:val="00C905A7"/>
    <w:rsid w:val="00CB034C"/>
    <w:rsid w:val="00CB4FDB"/>
    <w:rsid w:val="00CB51AD"/>
    <w:rsid w:val="00CC2F3E"/>
    <w:rsid w:val="00CD131F"/>
    <w:rsid w:val="00D01C6B"/>
    <w:rsid w:val="00D01E04"/>
    <w:rsid w:val="00D17D13"/>
    <w:rsid w:val="00D20E78"/>
    <w:rsid w:val="00D332C0"/>
    <w:rsid w:val="00D3403D"/>
    <w:rsid w:val="00D363B6"/>
    <w:rsid w:val="00D37422"/>
    <w:rsid w:val="00D46E69"/>
    <w:rsid w:val="00D61422"/>
    <w:rsid w:val="00D761DC"/>
    <w:rsid w:val="00DB2463"/>
    <w:rsid w:val="00DB4041"/>
    <w:rsid w:val="00DB46D8"/>
    <w:rsid w:val="00DC769E"/>
    <w:rsid w:val="00DD2A0D"/>
    <w:rsid w:val="00DD5296"/>
    <w:rsid w:val="00DE122E"/>
    <w:rsid w:val="00DE3CBB"/>
    <w:rsid w:val="00DE76CB"/>
    <w:rsid w:val="00DF0D26"/>
    <w:rsid w:val="00DF7D10"/>
    <w:rsid w:val="00E103FB"/>
    <w:rsid w:val="00E16E52"/>
    <w:rsid w:val="00E2260E"/>
    <w:rsid w:val="00E23CA9"/>
    <w:rsid w:val="00E339D8"/>
    <w:rsid w:val="00E42AEE"/>
    <w:rsid w:val="00E533D0"/>
    <w:rsid w:val="00E55071"/>
    <w:rsid w:val="00E60EE1"/>
    <w:rsid w:val="00E72F99"/>
    <w:rsid w:val="00E77DF6"/>
    <w:rsid w:val="00E8352B"/>
    <w:rsid w:val="00EA468F"/>
    <w:rsid w:val="00EA6A49"/>
    <w:rsid w:val="00EA792E"/>
    <w:rsid w:val="00EB04E2"/>
    <w:rsid w:val="00EC4BF6"/>
    <w:rsid w:val="00ED3A3C"/>
    <w:rsid w:val="00EE1A1A"/>
    <w:rsid w:val="00F03C60"/>
    <w:rsid w:val="00F201B8"/>
    <w:rsid w:val="00F266E0"/>
    <w:rsid w:val="00F33FD4"/>
    <w:rsid w:val="00F36709"/>
    <w:rsid w:val="00F47FDD"/>
    <w:rsid w:val="00F51C17"/>
    <w:rsid w:val="00F5571A"/>
    <w:rsid w:val="00F65949"/>
    <w:rsid w:val="00F673A7"/>
    <w:rsid w:val="00F67F01"/>
    <w:rsid w:val="00F70594"/>
    <w:rsid w:val="00F715A3"/>
    <w:rsid w:val="00F754AB"/>
    <w:rsid w:val="00F8147B"/>
    <w:rsid w:val="00F87EA6"/>
    <w:rsid w:val="00F903C3"/>
    <w:rsid w:val="00F931F2"/>
    <w:rsid w:val="00FA50FB"/>
    <w:rsid w:val="00FB0ABC"/>
    <w:rsid w:val="00FB5217"/>
    <w:rsid w:val="00FC2064"/>
    <w:rsid w:val="00FC4E03"/>
    <w:rsid w:val="00FD2E66"/>
    <w:rsid w:val="00FD595E"/>
    <w:rsid w:val="00FE67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05C44"/>
  <w15:docId w15:val="{87C54B2D-1566-4C5C-AE89-EE427E84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807"/>
    <w:rPr>
      <w:sz w:val="24"/>
      <w:szCs w:val="24"/>
      <w:lang w:val="en-US" w:eastAsia="en-US"/>
    </w:rPr>
  </w:style>
  <w:style w:type="paragraph" w:styleId="Heading1">
    <w:name w:val="heading 1"/>
    <w:basedOn w:val="Normal"/>
    <w:next w:val="Normal"/>
    <w:qFormat/>
    <w:rsid w:val="001433AE"/>
    <w:pPr>
      <w:keepNext/>
      <w:tabs>
        <w:tab w:val="left" w:pos="432"/>
        <w:tab w:val="left" w:pos="864"/>
      </w:tabs>
      <w:spacing w:before="100" w:beforeAutospacing="1"/>
      <w:ind w:left="720"/>
      <w:jc w:val="center"/>
      <w:outlineLvl w:val="0"/>
    </w:pPr>
    <w:rPr>
      <w:b/>
      <w:lang w:val="en-GB"/>
    </w:rPr>
  </w:style>
  <w:style w:type="paragraph" w:styleId="Heading3">
    <w:name w:val="heading 3"/>
    <w:basedOn w:val="Normal"/>
    <w:next w:val="Normal"/>
    <w:link w:val="Heading3Char"/>
    <w:semiHidden/>
    <w:unhideWhenUsed/>
    <w:qFormat/>
    <w:rsid w:val="00EB04E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33AE"/>
    <w:pPr>
      <w:tabs>
        <w:tab w:val="left" w:pos="432"/>
        <w:tab w:val="left" w:pos="864"/>
      </w:tabs>
      <w:spacing w:line="480" w:lineRule="auto"/>
      <w:ind w:left="1094" w:hanging="547"/>
    </w:pPr>
  </w:style>
  <w:style w:type="paragraph" w:customStyle="1" w:styleId="Char">
    <w:name w:val="Char"/>
    <w:basedOn w:val="Normal"/>
    <w:rsid w:val="001433AE"/>
    <w:rPr>
      <w:rFonts w:ascii="Arial" w:hAnsi="Arial" w:cs="Arial"/>
      <w:sz w:val="22"/>
      <w:szCs w:val="22"/>
      <w:lang w:val="en-AU"/>
    </w:rPr>
  </w:style>
  <w:style w:type="paragraph" w:styleId="BodyTextIndent2">
    <w:name w:val="Body Text Indent 2"/>
    <w:basedOn w:val="Normal"/>
    <w:rsid w:val="002F6E86"/>
    <w:pPr>
      <w:spacing w:after="120" w:line="480" w:lineRule="auto"/>
      <w:ind w:left="283"/>
    </w:pPr>
  </w:style>
  <w:style w:type="character" w:customStyle="1" w:styleId="BodyTextIndentChar">
    <w:name w:val="Body Text Indent Char"/>
    <w:link w:val="BodyTextIndent"/>
    <w:rsid w:val="00647EF2"/>
    <w:rPr>
      <w:sz w:val="24"/>
      <w:szCs w:val="24"/>
      <w:lang w:val="en-US" w:eastAsia="en-US"/>
    </w:rPr>
  </w:style>
  <w:style w:type="table" w:styleId="TableGrid">
    <w:name w:val="Table Grid"/>
    <w:basedOn w:val="TableNormal"/>
    <w:uiPriority w:val="39"/>
    <w:rsid w:val="00832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D86"/>
    <w:pPr>
      <w:ind w:left="720"/>
      <w:contextualSpacing/>
    </w:pPr>
  </w:style>
  <w:style w:type="paragraph" w:styleId="BalloonText">
    <w:name w:val="Balloon Text"/>
    <w:basedOn w:val="Normal"/>
    <w:link w:val="BalloonTextChar"/>
    <w:rsid w:val="00023BC3"/>
    <w:rPr>
      <w:rFonts w:ascii="Tahoma" w:hAnsi="Tahoma" w:cs="Tahoma"/>
      <w:sz w:val="16"/>
      <w:szCs w:val="16"/>
    </w:rPr>
  </w:style>
  <w:style w:type="character" w:customStyle="1" w:styleId="BalloonTextChar">
    <w:name w:val="Balloon Text Char"/>
    <w:basedOn w:val="DefaultParagraphFont"/>
    <w:link w:val="BalloonText"/>
    <w:rsid w:val="00023BC3"/>
    <w:rPr>
      <w:rFonts w:ascii="Tahoma" w:hAnsi="Tahoma" w:cs="Tahoma"/>
      <w:sz w:val="16"/>
      <w:szCs w:val="16"/>
      <w:lang w:val="en-US" w:eastAsia="en-US"/>
    </w:rPr>
  </w:style>
  <w:style w:type="character" w:styleId="CommentReference">
    <w:name w:val="annotation reference"/>
    <w:basedOn w:val="DefaultParagraphFont"/>
    <w:semiHidden/>
    <w:unhideWhenUsed/>
    <w:rsid w:val="00910B58"/>
    <w:rPr>
      <w:sz w:val="16"/>
      <w:szCs w:val="16"/>
    </w:rPr>
  </w:style>
  <w:style w:type="paragraph" w:styleId="CommentText">
    <w:name w:val="annotation text"/>
    <w:basedOn w:val="Normal"/>
    <w:link w:val="CommentTextChar"/>
    <w:semiHidden/>
    <w:unhideWhenUsed/>
    <w:rsid w:val="00910B58"/>
    <w:rPr>
      <w:sz w:val="20"/>
      <w:szCs w:val="20"/>
    </w:rPr>
  </w:style>
  <w:style w:type="character" w:customStyle="1" w:styleId="CommentTextChar">
    <w:name w:val="Comment Text Char"/>
    <w:basedOn w:val="DefaultParagraphFont"/>
    <w:link w:val="CommentText"/>
    <w:semiHidden/>
    <w:rsid w:val="00910B58"/>
    <w:rPr>
      <w:lang w:val="en-US" w:eastAsia="en-US"/>
    </w:rPr>
  </w:style>
  <w:style w:type="paragraph" w:styleId="CommentSubject">
    <w:name w:val="annotation subject"/>
    <w:basedOn w:val="CommentText"/>
    <w:next w:val="CommentText"/>
    <w:link w:val="CommentSubjectChar"/>
    <w:semiHidden/>
    <w:unhideWhenUsed/>
    <w:rsid w:val="00910B58"/>
    <w:rPr>
      <w:b/>
      <w:bCs/>
    </w:rPr>
  </w:style>
  <w:style w:type="character" w:customStyle="1" w:styleId="CommentSubjectChar">
    <w:name w:val="Comment Subject Char"/>
    <w:basedOn w:val="CommentTextChar"/>
    <w:link w:val="CommentSubject"/>
    <w:semiHidden/>
    <w:rsid w:val="00910B58"/>
    <w:rPr>
      <w:b/>
      <w:bCs/>
      <w:lang w:val="en-US" w:eastAsia="en-US"/>
    </w:rPr>
  </w:style>
  <w:style w:type="paragraph" w:styleId="Revision">
    <w:name w:val="Revision"/>
    <w:hidden/>
    <w:uiPriority w:val="99"/>
    <w:semiHidden/>
    <w:rsid w:val="00910B58"/>
    <w:rPr>
      <w:sz w:val="24"/>
      <w:szCs w:val="24"/>
      <w:lang w:val="en-US" w:eastAsia="en-US"/>
    </w:rPr>
  </w:style>
  <w:style w:type="paragraph" w:styleId="NormalWeb">
    <w:name w:val="Normal (Web)"/>
    <w:basedOn w:val="Normal"/>
    <w:uiPriority w:val="99"/>
    <w:unhideWhenUsed/>
    <w:rsid w:val="000D5DF7"/>
    <w:pPr>
      <w:spacing w:before="100" w:beforeAutospacing="1" w:after="100" w:afterAutospacing="1"/>
    </w:pPr>
    <w:rPr>
      <w:lang w:val="en-ZA" w:eastAsia="en-ZA"/>
    </w:rPr>
  </w:style>
  <w:style w:type="paragraph" w:styleId="HTMLPreformatted">
    <w:name w:val="HTML Preformatted"/>
    <w:basedOn w:val="Normal"/>
    <w:link w:val="HTMLPreformattedChar"/>
    <w:uiPriority w:val="99"/>
    <w:semiHidden/>
    <w:unhideWhenUsed/>
    <w:rsid w:val="00C06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ZA" w:eastAsia="en-ZA"/>
    </w:rPr>
  </w:style>
  <w:style w:type="character" w:customStyle="1" w:styleId="HTMLPreformattedChar">
    <w:name w:val="HTML Preformatted Char"/>
    <w:basedOn w:val="DefaultParagraphFont"/>
    <w:link w:val="HTMLPreformatted"/>
    <w:uiPriority w:val="99"/>
    <w:semiHidden/>
    <w:rsid w:val="00C06302"/>
    <w:rPr>
      <w:rFonts w:ascii="Courier New" w:eastAsiaTheme="minorHAnsi" w:hAnsi="Courier New" w:cs="Courier New"/>
    </w:rPr>
  </w:style>
  <w:style w:type="paragraph" w:styleId="Header">
    <w:name w:val="header"/>
    <w:basedOn w:val="Normal"/>
    <w:link w:val="HeaderChar"/>
    <w:uiPriority w:val="99"/>
    <w:unhideWhenUsed/>
    <w:rsid w:val="00380E88"/>
    <w:pPr>
      <w:tabs>
        <w:tab w:val="center" w:pos="4513"/>
        <w:tab w:val="right" w:pos="9026"/>
      </w:tabs>
    </w:pPr>
  </w:style>
  <w:style w:type="character" w:customStyle="1" w:styleId="HeaderChar">
    <w:name w:val="Header Char"/>
    <w:basedOn w:val="DefaultParagraphFont"/>
    <w:link w:val="Header"/>
    <w:uiPriority w:val="99"/>
    <w:rsid w:val="00380E88"/>
    <w:rPr>
      <w:sz w:val="24"/>
      <w:szCs w:val="24"/>
      <w:lang w:val="en-US" w:eastAsia="en-US"/>
    </w:rPr>
  </w:style>
  <w:style w:type="paragraph" w:styleId="Footer">
    <w:name w:val="footer"/>
    <w:basedOn w:val="Normal"/>
    <w:link w:val="FooterChar"/>
    <w:unhideWhenUsed/>
    <w:rsid w:val="00380E88"/>
    <w:pPr>
      <w:tabs>
        <w:tab w:val="center" w:pos="4513"/>
        <w:tab w:val="right" w:pos="9026"/>
      </w:tabs>
    </w:pPr>
  </w:style>
  <w:style w:type="character" w:customStyle="1" w:styleId="FooterChar">
    <w:name w:val="Footer Char"/>
    <w:basedOn w:val="DefaultParagraphFont"/>
    <w:link w:val="Footer"/>
    <w:rsid w:val="00380E88"/>
    <w:rPr>
      <w:sz w:val="24"/>
      <w:szCs w:val="24"/>
      <w:lang w:val="en-US" w:eastAsia="en-US"/>
    </w:rPr>
  </w:style>
  <w:style w:type="character" w:customStyle="1" w:styleId="Heading3Char">
    <w:name w:val="Heading 3 Char"/>
    <w:basedOn w:val="DefaultParagraphFont"/>
    <w:link w:val="Heading3"/>
    <w:semiHidden/>
    <w:rsid w:val="00EB04E2"/>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929">
      <w:bodyDiv w:val="1"/>
      <w:marLeft w:val="0"/>
      <w:marRight w:val="0"/>
      <w:marTop w:val="0"/>
      <w:marBottom w:val="0"/>
      <w:divBdr>
        <w:top w:val="none" w:sz="0" w:space="0" w:color="auto"/>
        <w:left w:val="none" w:sz="0" w:space="0" w:color="auto"/>
        <w:bottom w:val="none" w:sz="0" w:space="0" w:color="auto"/>
        <w:right w:val="none" w:sz="0" w:space="0" w:color="auto"/>
      </w:divBdr>
    </w:div>
    <w:div w:id="342244687">
      <w:bodyDiv w:val="1"/>
      <w:marLeft w:val="0"/>
      <w:marRight w:val="0"/>
      <w:marTop w:val="0"/>
      <w:marBottom w:val="0"/>
      <w:divBdr>
        <w:top w:val="none" w:sz="0" w:space="0" w:color="auto"/>
        <w:left w:val="none" w:sz="0" w:space="0" w:color="auto"/>
        <w:bottom w:val="none" w:sz="0" w:space="0" w:color="auto"/>
        <w:right w:val="none" w:sz="0" w:space="0" w:color="auto"/>
      </w:divBdr>
    </w:div>
    <w:div w:id="360058902">
      <w:bodyDiv w:val="1"/>
      <w:marLeft w:val="0"/>
      <w:marRight w:val="0"/>
      <w:marTop w:val="0"/>
      <w:marBottom w:val="0"/>
      <w:divBdr>
        <w:top w:val="none" w:sz="0" w:space="0" w:color="auto"/>
        <w:left w:val="none" w:sz="0" w:space="0" w:color="auto"/>
        <w:bottom w:val="none" w:sz="0" w:space="0" w:color="auto"/>
        <w:right w:val="none" w:sz="0" w:space="0" w:color="auto"/>
      </w:divBdr>
    </w:div>
    <w:div w:id="783580017">
      <w:bodyDiv w:val="1"/>
      <w:marLeft w:val="0"/>
      <w:marRight w:val="0"/>
      <w:marTop w:val="0"/>
      <w:marBottom w:val="0"/>
      <w:divBdr>
        <w:top w:val="none" w:sz="0" w:space="0" w:color="auto"/>
        <w:left w:val="none" w:sz="0" w:space="0" w:color="auto"/>
        <w:bottom w:val="none" w:sz="0" w:space="0" w:color="auto"/>
        <w:right w:val="none" w:sz="0" w:space="0" w:color="auto"/>
      </w:divBdr>
    </w:div>
    <w:div w:id="881946577">
      <w:bodyDiv w:val="1"/>
      <w:marLeft w:val="0"/>
      <w:marRight w:val="0"/>
      <w:marTop w:val="0"/>
      <w:marBottom w:val="0"/>
      <w:divBdr>
        <w:top w:val="none" w:sz="0" w:space="0" w:color="auto"/>
        <w:left w:val="none" w:sz="0" w:space="0" w:color="auto"/>
        <w:bottom w:val="none" w:sz="0" w:space="0" w:color="auto"/>
        <w:right w:val="none" w:sz="0" w:space="0" w:color="auto"/>
      </w:divBdr>
    </w:div>
    <w:div w:id="954215825">
      <w:bodyDiv w:val="1"/>
      <w:marLeft w:val="0"/>
      <w:marRight w:val="0"/>
      <w:marTop w:val="0"/>
      <w:marBottom w:val="0"/>
      <w:divBdr>
        <w:top w:val="none" w:sz="0" w:space="0" w:color="auto"/>
        <w:left w:val="none" w:sz="0" w:space="0" w:color="auto"/>
        <w:bottom w:val="none" w:sz="0" w:space="0" w:color="auto"/>
        <w:right w:val="none" w:sz="0" w:space="0" w:color="auto"/>
      </w:divBdr>
    </w:div>
    <w:div w:id="1292783871">
      <w:bodyDiv w:val="1"/>
      <w:marLeft w:val="0"/>
      <w:marRight w:val="0"/>
      <w:marTop w:val="0"/>
      <w:marBottom w:val="0"/>
      <w:divBdr>
        <w:top w:val="none" w:sz="0" w:space="0" w:color="auto"/>
        <w:left w:val="none" w:sz="0" w:space="0" w:color="auto"/>
        <w:bottom w:val="none" w:sz="0" w:space="0" w:color="auto"/>
        <w:right w:val="none" w:sz="0" w:space="0" w:color="auto"/>
      </w:divBdr>
    </w:div>
    <w:div w:id="1535577050">
      <w:bodyDiv w:val="1"/>
      <w:marLeft w:val="0"/>
      <w:marRight w:val="0"/>
      <w:marTop w:val="0"/>
      <w:marBottom w:val="0"/>
      <w:divBdr>
        <w:top w:val="none" w:sz="0" w:space="0" w:color="auto"/>
        <w:left w:val="none" w:sz="0" w:space="0" w:color="auto"/>
        <w:bottom w:val="none" w:sz="0" w:space="0" w:color="auto"/>
        <w:right w:val="none" w:sz="0" w:space="0" w:color="auto"/>
      </w:divBdr>
    </w:div>
    <w:div w:id="194545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21844-2966-48AB-BE48-073B9C8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NATIONAL ASSEMBLY</vt:lpstr>
    </vt:vector>
  </TitlesOfParts>
  <Company>National Treasury</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ASSEMBLY</dc:title>
  <dc:creator>Lindile Batwa</dc:creator>
  <cp:lastModifiedBy>Lindile Batwa</cp:lastModifiedBy>
  <cp:revision>2</cp:revision>
  <cp:lastPrinted>2019-03-27T11:32:00Z</cp:lastPrinted>
  <dcterms:created xsi:type="dcterms:W3CDTF">2019-10-11T09:47:00Z</dcterms:created>
  <dcterms:modified xsi:type="dcterms:W3CDTF">2019-10-11T09:47:00Z</dcterms:modified>
</cp:coreProperties>
</file>